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4D78" w14:textId="785C4E7A" w:rsidR="003E1521" w:rsidRPr="004F2492" w:rsidRDefault="00B41B3F" w:rsidP="005513B0">
      <w:pPr>
        <w:spacing w:before="160"/>
        <w:jc w:val="center"/>
        <w:rPr>
          <w:rFonts w:ascii="Open Sans" w:hAnsi="Open Sans" w:cs="Open Sans"/>
          <w:b/>
          <w:bCs/>
          <w:sz w:val="32"/>
          <w:szCs w:val="32"/>
        </w:rPr>
      </w:pPr>
      <w:r w:rsidRPr="004F2492">
        <w:rPr>
          <w:rFonts w:ascii="Open Sans" w:hAnsi="Open Sans" w:cs="Open Sans"/>
          <w:b/>
          <w:bCs/>
          <w:sz w:val="32"/>
          <w:szCs w:val="32"/>
        </w:rPr>
        <w:t>Innovate Alabama</w:t>
      </w:r>
      <w:r w:rsidR="00EE1522">
        <w:rPr>
          <w:rFonts w:ascii="Open Sans" w:hAnsi="Open Sans" w:cs="Open Sans"/>
          <w:b/>
          <w:bCs/>
          <w:sz w:val="32"/>
          <w:szCs w:val="32"/>
        </w:rPr>
        <w:t xml:space="preserve"> Network Program Guidelines</w:t>
      </w:r>
    </w:p>
    <w:p w14:paraId="17A929B8" w14:textId="5455520F" w:rsidR="00960878" w:rsidRPr="004D2396" w:rsidRDefault="005B00E0" w:rsidP="005513B0">
      <w:pPr>
        <w:pStyle w:val="Style1"/>
        <w:spacing w:before="160"/>
        <w:contextualSpacing w:val="0"/>
        <w:rPr>
          <w:b/>
          <w:bCs/>
        </w:rPr>
      </w:pPr>
      <w:r w:rsidRPr="004D2396">
        <w:rPr>
          <w:b/>
          <w:bCs/>
        </w:rPr>
        <w:t>Purpose</w:t>
      </w:r>
    </w:p>
    <w:p w14:paraId="0649B3C5" w14:textId="194F69B8" w:rsidR="005B00E0" w:rsidRPr="008E2F0D" w:rsidRDefault="004D59D6" w:rsidP="00DD4E74">
      <w:pPr>
        <w:pStyle w:val="ListParagraph"/>
        <w:numPr>
          <w:ilvl w:val="1"/>
          <w:numId w:val="2"/>
        </w:numPr>
        <w:spacing w:before="160"/>
        <w:rPr>
          <w:rFonts w:ascii="Open Sans" w:hAnsi="Open Sans" w:cs="Open Sans"/>
        </w:rPr>
      </w:pPr>
      <w:r w:rsidRPr="008E2F0D">
        <w:rPr>
          <w:rFonts w:ascii="Open Sans" w:hAnsi="Open Sans" w:cs="Open Sans"/>
        </w:rPr>
        <w:t xml:space="preserve">The </w:t>
      </w:r>
      <w:r w:rsidR="00DD5F74">
        <w:rPr>
          <w:rFonts w:ascii="Open Sans" w:hAnsi="Open Sans" w:cs="Open Sans"/>
        </w:rPr>
        <w:t>Innovate Alabama Network</w:t>
      </w:r>
      <w:r w:rsidRPr="008E2F0D">
        <w:rPr>
          <w:rFonts w:ascii="Open Sans" w:hAnsi="Open Sans" w:cs="Open Sans"/>
        </w:rPr>
        <w:t xml:space="preserve"> is designed to recognize and award </w:t>
      </w:r>
      <w:r w:rsidR="00DD5F74">
        <w:rPr>
          <w:rFonts w:ascii="Open Sans" w:hAnsi="Open Sans" w:cs="Open Sans"/>
        </w:rPr>
        <w:t>ecosystem partners for their</w:t>
      </w:r>
      <w:r w:rsidRPr="008E2F0D">
        <w:rPr>
          <w:rFonts w:ascii="Open Sans" w:hAnsi="Open Sans" w:cs="Open Sans"/>
        </w:rPr>
        <w:t xml:space="preserve"> commitment to support innovation and knowledge-based economic activity. </w:t>
      </w:r>
    </w:p>
    <w:p w14:paraId="1C71D087" w14:textId="2BB8F32E" w:rsidR="00960878" w:rsidRDefault="00DD4E74" w:rsidP="008E2F0D">
      <w:pPr>
        <w:pStyle w:val="ListParagraph"/>
        <w:numPr>
          <w:ilvl w:val="1"/>
          <w:numId w:val="2"/>
        </w:numPr>
        <w:spacing w:before="160"/>
        <w:rPr>
          <w:rFonts w:ascii="Open Sans" w:hAnsi="Open Sans" w:cs="Open Sans"/>
        </w:rPr>
      </w:pPr>
      <w:r>
        <w:rPr>
          <w:rFonts w:ascii="Open Sans" w:hAnsi="Open Sans" w:cs="Open Sans"/>
        </w:rPr>
        <w:t>The</w:t>
      </w:r>
      <w:r w:rsidR="0013691D" w:rsidRPr="008E2F0D">
        <w:rPr>
          <w:rFonts w:ascii="Open Sans" w:hAnsi="Open Sans" w:cs="Open Sans"/>
        </w:rPr>
        <w:t xml:space="preserve"> </w:t>
      </w:r>
      <w:r w:rsidR="00384306">
        <w:rPr>
          <w:rFonts w:ascii="Open Sans" w:hAnsi="Open Sans" w:cs="Open Sans"/>
        </w:rPr>
        <w:t xml:space="preserve">Innovate Alabama Network </w:t>
      </w:r>
      <w:r w:rsidR="00187C45" w:rsidRPr="008E2F0D">
        <w:rPr>
          <w:rFonts w:ascii="Open Sans" w:hAnsi="Open Sans" w:cs="Open Sans"/>
        </w:rPr>
        <w:t xml:space="preserve">will </w:t>
      </w:r>
      <w:r w:rsidR="00812E9A" w:rsidRPr="008E2F0D">
        <w:rPr>
          <w:rFonts w:ascii="Open Sans" w:hAnsi="Open Sans" w:cs="Open Sans"/>
        </w:rPr>
        <w:t>reward</w:t>
      </w:r>
      <w:r w:rsidR="00187C45" w:rsidRPr="008E2F0D">
        <w:rPr>
          <w:rFonts w:ascii="Open Sans" w:hAnsi="Open Sans" w:cs="Open Sans"/>
        </w:rPr>
        <w:t xml:space="preserve"> </w:t>
      </w:r>
      <w:r w:rsidR="00384306">
        <w:rPr>
          <w:rFonts w:ascii="Open Sans" w:hAnsi="Open Sans" w:cs="Open Sans"/>
        </w:rPr>
        <w:t>partners</w:t>
      </w:r>
      <w:r w:rsidR="00187C45" w:rsidRPr="008E2F0D">
        <w:rPr>
          <w:rFonts w:ascii="Open Sans" w:hAnsi="Open Sans" w:cs="Open Sans"/>
        </w:rPr>
        <w:t xml:space="preserve"> throughout the state who are committed to </w:t>
      </w:r>
      <w:r w:rsidR="0095319A" w:rsidRPr="008E2F0D">
        <w:rPr>
          <w:rFonts w:ascii="Open Sans" w:hAnsi="Open Sans" w:cs="Open Sans"/>
        </w:rPr>
        <w:t>expanding innovation-related programming and assets</w:t>
      </w:r>
      <w:r w:rsidR="003C213F" w:rsidRPr="008E2F0D">
        <w:rPr>
          <w:rFonts w:ascii="Open Sans" w:hAnsi="Open Sans" w:cs="Open Sans"/>
        </w:rPr>
        <w:t xml:space="preserve">. Expanding these initiatives will grow the Alabama economy by </w:t>
      </w:r>
      <w:r w:rsidR="000B62E7" w:rsidRPr="008E2F0D">
        <w:rPr>
          <w:rFonts w:ascii="Open Sans" w:hAnsi="Open Sans" w:cs="Open Sans"/>
        </w:rPr>
        <w:t xml:space="preserve">attracting and retaining high and mid-skilled workers; creating programming that connects entrepreneurs with </w:t>
      </w:r>
      <w:r w:rsidR="00812E9A" w:rsidRPr="008E2F0D">
        <w:rPr>
          <w:rFonts w:ascii="Open Sans" w:hAnsi="Open Sans" w:cs="Open Sans"/>
        </w:rPr>
        <w:t xml:space="preserve">innovation resources; and </w:t>
      </w:r>
      <w:r w:rsidR="004F2492" w:rsidRPr="008E2F0D">
        <w:rPr>
          <w:rFonts w:ascii="Open Sans" w:hAnsi="Open Sans" w:cs="Open Sans"/>
        </w:rPr>
        <w:t>developing physical assets that contribute to increased quality of life and worker productivity.</w:t>
      </w:r>
    </w:p>
    <w:p w14:paraId="1ABBA82F" w14:textId="77BFE064" w:rsidR="007909EA" w:rsidRDefault="007909EA" w:rsidP="008E2F0D">
      <w:pPr>
        <w:pStyle w:val="ListParagraph"/>
        <w:numPr>
          <w:ilvl w:val="1"/>
          <w:numId w:val="2"/>
        </w:numPr>
        <w:spacing w:before="160"/>
        <w:rPr>
          <w:rFonts w:ascii="Open Sans" w:hAnsi="Open Sans" w:cs="Open Sans"/>
        </w:rPr>
      </w:pPr>
      <w:r w:rsidRPr="007909EA">
        <w:rPr>
          <w:rFonts w:ascii="Open Sans" w:hAnsi="Open Sans" w:cs="Open Sans"/>
        </w:rPr>
        <w:t xml:space="preserve">Innovate Alabama recognizes three components to a healthy and robust innovation economy: people, place, and resources. People refer to programming and assets that help strengthen the workforce, including such as affordable housing initiatives, education opportunities, workforce development programs, and others. Place refers to the assets that attract and retain workers to communities. Assets and programs may include, such as neighborhood revitalization grants, placemaking initiatives, building rehabilitation or preservation programs, among others. Lastly, resources refer to the financial or programmatic assets that directly grow or serve innovators within the community. Assets in this category may </w:t>
      </w:r>
      <w:r w:rsidR="00E43204" w:rsidRPr="007909EA">
        <w:rPr>
          <w:rFonts w:ascii="Open Sans" w:hAnsi="Open Sans" w:cs="Open Sans"/>
        </w:rPr>
        <w:t>include</w:t>
      </w:r>
      <w:r w:rsidRPr="007909EA">
        <w:rPr>
          <w:rFonts w:ascii="Open Sans" w:hAnsi="Open Sans" w:cs="Open Sans"/>
        </w:rPr>
        <w:t xml:space="preserve"> mentorship programs, </w:t>
      </w:r>
      <w:r w:rsidR="00E43204">
        <w:rPr>
          <w:rFonts w:ascii="Open Sans" w:hAnsi="Open Sans" w:cs="Open Sans"/>
        </w:rPr>
        <w:t xml:space="preserve">non-profit </w:t>
      </w:r>
      <w:r w:rsidRPr="007909EA">
        <w:rPr>
          <w:rFonts w:ascii="Open Sans" w:hAnsi="Open Sans" w:cs="Open Sans"/>
        </w:rPr>
        <w:t>accelerators, business incubators, among others. Innovate Alabama understands that innovation activity is the result of a complex interaction between these asset categories and that the examples provided above are non-exhaustive.</w:t>
      </w:r>
    </w:p>
    <w:p w14:paraId="00FC5C87" w14:textId="5E5CAC16" w:rsidR="000D673F" w:rsidRPr="000E3711" w:rsidRDefault="000D673F" w:rsidP="000D673F">
      <w:pPr>
        <w:pStyle w:val="Style1"/>
        <w:rPr>
          <w:b/>
          <w:bCs/>
        </w:rPr>
      </w:pPr>
      <w:r w:rsidRPr="000E3711">
        <w:rPr>
          <w:b/>
          <w:bCs/>
        </w:rPr>
        <w:t>Program Benefits</w:t>
      </w:r>
    </w:p>
    <w:p w14:paraId="527DBAEC" w14:textId="01B2903B" w:rsidR="000D673F" w:rsidRDefault="00DD4E74" w:rsidP="008E2F0D">
      <w:pPr>
        <w:pStyle w:val="ListParagraph"/>
        <w:numPr>
          <w:ilvl w:val="1"/>
          <w:numId w:val="2"/>
        </w:numPr>
        <w:spacing w:before="160"/>
        <w:rPr>
          <w:rFonts w:ascii="Open Sans" w:hAnsi="Open Sans" w:cs="Open Sans"/>
        </w:rPr>
      </w:pPr>
      <w:r>
        <w:rPr>
          <w:rFonts w:ascii="Open Sans" w:hAnsi="Open Sans" w:cs="Open Sans"/>
        </w:rPr>
        <w:t xml:space="preserve">Upon earning a designation, </w:t>
      </w:r>
      <w:r w:rsidR="00FA7073">
        <w:rPr>
          <w:rFonts w:ascii="Open Sans" w:hAnsi="Open Sans" w:cs="Open Sans"/>
        </w:rPr>
        <w:t>applicants</w:t>
      </w:r>
      <w:r>
        <w:rPr>
          <w:rFonts w:ascii="Open Sans" w:hAnsi="Open Sans" w:cs="Open Sans"/>
        </w:rPr>
        <w:t xml:space="preserve"> will earn up to $250,000 as an award for </w:t>
      </w:r>
      <w:r w:rsidR="002E4384">
        <w:rPr>
          <w:rFonts w:ascii="Open Sans" w:hAnsi="Open Sans" w:cs="Open Sans"/>
        </w:rPr>
        <w:t xml:space="preserve">acceptance and ongoing access to the Innovate Alabama Network. This award should be used to advance innovation </w:t>
      </w:r>
      <w:r w:rsidR="000D673F">
        <w:rPr>
          <w:rFonts w:ascii="Open Sans" w:hAnsi="Open Sans" w:cs="Open Sans"/>
        </w:rPr>
        <w:t>along Innovate Alabama’s people, place, and resource components.</w:t>
      </w:r>
    </w:p>
    <w:p w14:paraId="7DCF7820" w14:textId="428A137E" w:rsidR="00F94A46" w:rsidRDefault="00F94A46" w:rsidP="008E2F0D">
      <w:pPr>
        <w:pStyle w:val="ListParagraph"/>
        <w:numPr>
          <w:ilvl w:val="1"/>
          <w:numId w:val="2"/>
        </w:numPr>
        <w:spacing w:before="160"/>
        <w:rPr>
          <w:rFonts w:ascii="Open Sans" w:hAnsi="Open Sans" w:cs="Open Sans"/>
        </w:rPr>
      </w:pPr>
      <w:r>
        <w:rPr>
          <w:rFonts w:ascii="Open Sans" w:hAnsi="Open Sans" w:cs="Open Sans"/>
        </w:rPr>
        <w:t>Additionally, successful applicants will be able to</w:t>
      </w:r>
      <w:r w:rsidR="00833BE3">
        <w:rPr>
          <w:rFonts w:ascii="Open Sans" w:hAnsi="Open Sans" w:cs="Open Sans"/>
        </w:rPr>
        <w:t xml:space="preserve"> call themselves a part of the Innovate Alabama Network and can use the designated seal and other marketing materials.</w:t>
      </w:r>
    </w:p>
    <w:p w14:paraId="2BAF93C3" w14:textId="6F8F0A3B" w:rsidR="00380FDE" w:rsidRPr="00F94A46" w:rsidRDefault="002E4384" w:rsidP="00F94A46">
      <w:pPr>
        <w:pStyle w:val="ListParagraph"/>
        <w:numPr>
          <w:ilvl w:val="1"/>
          <w:numId w:val="2"/>
        </w:numPr>
        <w:spacing w:before="160"/>
        <w:rPr>
          <w:rFonts w:ascii="Open Sans" w:hAnsi="Open Sans" w:cs="Open Sans"/>
        </w:rPr>
      </w:pPr>
      <w:r>
        <w:rPr>
          <w:rFonts w:ascii="Open Sans" w:hAnsi="Open Sans" w:cs="Open Sans"/>
        </w:rPr>
        <w:t xml:space="preserve">Additionally, </w:t>
      </w:r>
      <w:r w:rsidR="008443C6">
        <w:rPr>
          <w:rFonts w:ascii="Open Sans" w:hAnsi="Open Sans" w:cs="Open Sans"/>
        </w:rPr>
        <w:t xml:space="preserve">upon receiving </w:t>
      </w:r>
      <w:r w:rsidR="00384306">
        <w:rPr>
          <w:rFonts w:ascii="Open Sans" w:hAnsi="Open Sans" w:cs="Open Sans"/>
        </w:rPr>
        <w:t xml:space="preserve">admission </w:t>
      </w:r>
      <w:proofErr w:type="gramStart"/>
      <w:r w:rsidR="00384306">
        <w:rPr>
          <w:rFonts w:ascii="Open Sans" w:hAnsi="Open Sans" w:cs="Open Sans"/>
        </w:rPr>
        <w:t>in to</w:t>
      </w:r>
      <w:proofErr w:type="gramEnd"/>
      <w:r w:rsidR="00384306">
        <w:rPr>
          <w:rFonts w:ascii="Open Sans" w:hAnsi="Open Sans" w:cs="Open Sans"/>
        </w:rPr>
        <w:t xml:space="preserve"> the Innovate Alabama Network</w:t>
      </w:r>
      <w:r w:rsidR="008443C6">
        <w:rPr>
          <w:rFonts w:ascii="Open Sans" w:hAnsi="Open Sans" w:cs="Open Sans"/>
        </w:rPr>
        <w:t xml:space="preserve">, </w:t>
      </w:r>
      <w:r w:rsidR="001C480A">
        <w:rPr>
          <w:rFonts w:ascii="Open Sans" w:hAnsi="Open Sans" w:cs="Open Sans"/>
        </w:rPr>
        <w:t>applicants</w:t>
      </w:r>
      <w:r>
        <w:rPr>
          <w:rFonts w:ascii="Open Sans" w:hAnsi="Open Sans" w:cs="Open Sans"/>
        </w:rPr>
        <w:t xml:space="preserve"> may submit an additional grant request</w:t>
      </w:r>
      <w:r w:rsidR="000D673F">
        <w:rPr>
          <w:rFonts w:ascii="Open Sans" w:hAnsi="Open Sans" w:cs="Open Sans"/>
        </w:rPr>
        <w:t xml:space="preserve"> to Innovate Alabama </w:t>
      </w:r>
      <w:r w:rsidR="000E3711">
        <w:rPr>
          <w:rFonts w:ascii="Open Sans" w:hAnsi="Open Sans" w:cs="Open Sans"/>
        </w:rPr>
        <w:t xml:space="preserve">to advance a specific innovation-related project which requires funds above the </w:t>
      </w:r>
      <w:r w:rsidR="000E3711">
        <w:rPr>
          <w:rFonts w:ascii="Open Sans" w:hAnsi="Open Sans" w:cs="Open Sans"/>
        </w:rPr>
        <w:lastRenderedPageBreak/>
        <w:t xml:space="preserve">initial up to $250,000 award. More information about this additional grant request can be found on the Innovate Alabama website or </w:t>
      </w:r>
      <w:r w:rsidR="008443C6">
        <w:rPr>
          <w:rFonts w:ascii="Open Sans" w:hAnsi="Open Sans" w:cs="Open Sans"/>
        </w:rPr>
        <w:t xml:space="preserve">through contacting </w:t>
      </w:r>
      <w:hyperlink r:id="rId11" w:history="1">
        <w:r w:rsidR="00380FDE" w:rsidRPr="00C44E57">
          <w:rPr>
            <w:rStyle w:val="Hyperlink"/>
            <w:rFonts w:ascii="Open Sans" w:hAnsi="Open Sans" w:cs="Open Sans"/>
          </w:rPr>
          <w:t>Partners@InnovateAlabama.org</w:t>
        </w:r>
      </w:hyperlink>
    </w:p>
    <w:p w14:paraId="226931CF" w14:textId="203E1403" w:rsidR="004F2492" w:rsidRPr="007909EA" w:rsidRDefault="000F7745" w:rsidP="007909EA">
      <w:pPr>
        <w:pStyle w:val="Style1"/>
        <w:rPr>
          <w:b/>
          <w:bCs/>
        </w:rPr>
      </w:pPr>
      <w:r w:rsidRPr="007909EA">
        <w:rPr>
          <w:b/>
          <w:bCs/>
        </w:rPr>
        <w:t xml:space="preserve">Program </w:t>
      </w:r>
      <w:r w:rsidR="004F2492" w:rsidRPr="007909EA">
        <w:rPr>
          <w:b/>
          <w:bCs/>
        </w:rPr>
        <w:t>Goals</w:t>
      </w:r>
    </w:p>
    <w:p w14:paraId="0D3BDD8E" w14:textId="729062F3" w:rsidR="000D35FB" w:rsidRPr="000D35FB" w:rsidRDefault="007B4946" w:rsidP="008E2F0D">
      <w:pPr>
        <w:pStyle w:val="Style1"/>
        <w:numPr>
          <w:ilvl w:val="1"/>
          <w:numId w:val="2"/>
        </w:numPr>
        <w:spacing w:before="160"/>
        <w:contextualSpacing w:val="0"/>
      </w:pPr>
      <w:r>
        <w:t xml:space="preserve">The </w:t>
      </w:r>
      <w:r w:rsidR="00384306">
        <w:t>Innovate Alabama Network</w:t>
      </w:r>
      <w:r>
        <w:t xml:space="preserve"> aims to catalyze innovatio</w:t>
      </w:r>
      <w:r w:rsidR="00B8055C">
        <w:t>n throughout the state of Alabama through accomplishing the following goals.</w:t>
      </w:r>
      <w:r>
        <w:t xml:space="preserve"> </w:t>
      </w:r>
    </w:p>
    <w:p w14:paraId="394BD488" w14:textId="07854274" w:rsidR="000F7745" w:rsidRDefault="000F7745" w:rsidP="008E2F0D">
      <w:pPr>
        <w:pStyle w:val="ListParagraph"/>
        <w:numPr>
          <w:ilvl w:val="2"/>
          <w:numId w:val="2"/>
        </w:numPr>
        <w:spacing w:before="160"/>
        <w:contextualSpacing w:val="0"/>
        <w:rPr>
          <w:rFonts w:ascii="Open Sans" w:hAnsi="Open Sans" w:cs="Open Sans"/>
        </w:rPr>
      </w:pPr>
      <w:r>
        <w:rPr>
          <w:rFonts w:ascii="Open Sans" w:hAnsi="Open Sans" w:cs="Open Sans"/>
        </w:rPr>
        <w:t>Increase innovation related activities in local communities in Alabama.</w:t>
      </w:r>
    </w:p>
    <w:p w14:paraId="7100995D" w14:textId="1E531623" w:rsidR="000F7745" w:rsidRDefault="000F7745" w:rsidP="008E2F0D">
      <w:pPr>
        <w:pStyle w:val="ListParagraph"/>
        <w:numPr>
          <w:ilvl w:val="2"/>
          <w:numId w:val="2"/>
        </w:numPr>
        <w:spacing w:before="160"/>
        <w:contextualSpacing w:val="0"/>
        <w:rPr>
          <w:rFonts w:ascii="Open Sans" w:hAnsi="Open Sans" w:cs="Open Sans"/>
        </w:rPr>
      </w:pPr>
      <w:r>
        <w:rPr>
          <w:rFonts w:ascii="Open Sans" w:hAnsi="Open Sans" w:cs="Open Sans"/>
        </w:rPr>
        <w:t>Create a broader network of innovation-related programming and assets in urban and rural areas.</w:t>
      </w:r>
    </w:p>
    <w:p w14:paraId="7F7BB7CB" w14:textId="303A8751" w:rsidR="00DC5C1B" w:rsidRDefault="00C92DC4" w:rsidP="19596BCB">
      <w:pPr>
        <w:pStyle w:val="ListParagraph"/>
        <w:numPr>
          <w:ilvl w:val="2"/>
          <w:numId w:val="2"/>
        </w:numPr>
        <w:spacing w:before="160"/>
        <w:contextualSpacing w:val="0"/>
        <w:rPr>
          <w:rFonts w:ascii="Open Sans" w:hAnsi="Open Sans" w:cs="Open Sans"/>
        </w:rPr>
      </w:pPr>
      <w:r w:rsidRPr="19596BCB">
        <w:rPr>
          <w:rFonts w:ascii="Open Sans" w:hAnsi="Open Sans" w:cs="Open Sans"/>
        </w:rPr>
        <w:t xml:space="preserve">Provide access to innovation-related </w:t>
      </w:r>
      <w:r w:rsidR="00A55083" w:rsidRPr="19596BCB">
        <w:rPr>
          <w:rFonts w:ascii="Open Sans" w:hAnsi="Open Sans" w:cs="Open Sans"/>
        </w:rPr>
        <w:t xml:space="preserve">seed </w:t>
      </w:r>
      <w:r w:rsidR="00DC5C1B" w:rsidRPr="19596BCB">
        <w:rPr>
          <w:rFonts w:ascii="Open Sans" w:hAnsi="Open Sans" w:cs="Open Sans"/>
        </w:rPr>
        <w:t>funding for localities and communitie</w:t>
      </w:r>
      <w:r w:rsidR="004F1AF7">
        <w:rPr>
          <w:rFonts w:ascii="Open Sans" w:hAnsi="Open Sans" w:cs="Open Sans"/>
        </w:rPr>
        <w:t>s</w:t>
      </w:r>
      <w:r w:rsidR="00A55083" w:rsidRPr="19596BCB">
        <w:rPr>
          <w:rFonts w:ascii="Open Sans" w:hAnsi="Open Sans" w:cs="Open Sans"/>
        </w:rPr>
        <w:t>.</w:t>
      </w:r>
    </w:p>
    <w:p w14:paraId="58084421" w14:textId="725856FD" w:rsidR="00A55083" w:rsidRDefault="00A55083" w:rsidP="19596BCB">
      <w:pPr>
        <w:pStyle w:val="ListParagraph"/>
        <w:numPr>
          <w:ilvl w:val="2"/>
          <w:numId w:val="2"/>
        </w:numPr>
        <w:spacing w:before="160"/>
        <w:contextualSpacing w:val="0"/>
        <w:rPr>
          <w:rFonts w:ascii="Open Sans" w:hAnsi="Open Sans" w:cs="Open Sans"/>
        </w:rPr>
      </w:pPr>
      <w:r w:rsidRPr="19596BCB">
        <w:rPr>
          <w:rFonts w:ascii="Open Sans" w:hAnsi="Open Sans" w:cs="Open Sans"/>
        </w:rPr>
        <w:t>Recognize and support</w:t>
      </w:r>
      <w:r w:rsidR="5AF3F629" w:rsidRPr="19596BCB">
        <w:rPr>
          <w:rFonts w:ascii="Open Sans" w:hAnsi="Open Sans" w:cs="Open Sans"/>
        </w:rPr>
        <w:t xml:space="preserve"> </w:t>
      </w:r>
      <w:r w:rsidRPr="19596BCB">
        <w:rPr>
          <w:rFonts w:ascii="Open Sans" w:hAnsi="Open Sans" w:cs="Open Sans"/>
        </w:rPr>
        <w:t>the diversity of innovation ecosystem partners throughout the state.</w:t>
      </w:r>
    </w:p>
    <w:p w14:paraId="762EC9F8" w14:textId="53D94989" w:rsidR="0087611D" w:rsidRDefault="00283838" w:rsidP="19596BCB">
      <w:pPr>
        <w:pStyle w:val="ListParagraph"/>
        <w:numPr>
          <w:ilvl w:val="2"/>
          <w:numId w:val="2"/>
        </w:numPr>
        <w:spacing w:before="160"/>
        <w:contextualSpacing w:val="0"/>
        <w:rPr>
          <w:rFonts w:ascii="Open Sans" w:hAnsi="Open Sans" w:cs="Open Sans"/>
        </w:rPr>
      </w:pPr>
      <w:r>
        <w:rPr>
          <w:rFonts w:ascii="Open Sans" w:hAnsi="Open Sans" w:cs="Open Sans"/>
        </w:rPr>
        <w:t>Encourage partnerships and coordination among partners, particularly to bolster future efforts.</w:t>
      </w:r>
    </w:p>
    <w:p w14:paraId="4999F30A" w14:textId="3D5F6AA9" w:rsidR="00A55083" w:rsidRPr="00CB0CD8" w:rsidRDefault="00A55083" w:rsidP="005513B0">
      <w:pPr>
        <w:pStyle w:val="Style1"/>
        <w:spacing w:before="160"/>
        <w:contextualSpacing w:val="0"/>
        <w:rPr>
          <w:b/>
          <w:bCs/>
        </w:rPr>
      </w:pPr>
      <w:r w:rsidRPr="00CB0CD8">
        <w:rPr>
          <w:b/>
          <w:bCs/>
        </w:rPr>
        <w:t>Available Funds</w:t>
      </w:r>
    </w:p>
    <w:p w14:paraId="12B89281" w14:textId="2809316F" w:rsidR="006C4372" w:rsidRPr="00380FDE" w:rsidRDefault="00380FDE" w:rsidP="005513B0">
      <w:pPr>
        <w:pStyle w:val="ListParagraph"/>
        <w:numPr>
          <w:ilvl w:val="1"/>
          <w:numId w:val="2"/>
        </w:numPr>
        <w:spacing w:before="160"/>
        <w:contextualSpacing w:val="0"/>
        <w:rPr>
          <w:rFonts w:ascii="Open Sans" w:hAnsi="Open Sans" w:cs="Open Sans"/>
        </w:rPr>
      </w:pPr>
      <w:r>
        <w:rPr>
          <w:rFonts w:ascii="Open Sans" w:hAnsi="Open Sans" w:cs="Open Sans"/>
        </w:rPr>
        <w:t xml:space="preserve">Upon earning a designation, </w:t>
      </w:r>
      <w:r w:rsidR="00833BE3">
        <w:rPr>
          <w:rFonts w:ascii="Open Sans" w:hAnsi="Open Sans" w:cs="Open Sans"/>
        </w:rPr>
        <w:t xml:space="preserve">applicants will </w:t>
      </w:r>
      <w:r w:rsidR="003F71D2">
        <w:rPr>
          <w:rFonts w:ascii="Open Sans" w:hAnsi="Open Sans" w:cs="Open Sans"/>
        </w:rPr>
        <w:t xml:space="preserve">earn a one-time award of up to $250,000. </w:t>
      </w:r>
    </w:p>
    <w:p w14:paraId="4648EB06" w14:textId="007AA700" w:rsidR="0013691D" w:rsidRPr="00C07D48" w:rsidRDefault="000D35FB" w:rsidP="005513B0">
      <w:pPr>
        <w:pStyle w:val="Style1"/>
        <w:spacing w:before="160"/>
        <w:contextualSpacing w:val="0"/>
        <w:rPr>
          <w:b/>
          <w:bCs/>
        </w:rPr>
      </w:pPr>
      <w:r w:rsidRPr="00C07D48">
        <w:rPr>
          <w:b/>
          <w:bCs/>
        </w:rPr>
        <w:t>Eligibility Requirements</w:t>
      </w:r>
    </w:p>
    <w:p w14:paraId="658C3613" w14:textId="7AB4932C" w:rsidR="000E6987" w:rsidRDefault="000E6987" w:rsidP="006301FE">
      <w:pPr>
        <w:pStyle w:val="Style1"/>
        <w:numPr>
          <w:ilvl w:val="1"/>
          <w:numId w:val="2"/>
        </w:numPr>
        <w:spacing w:before="160"/>
        <w:contextualSpacing w:val="0"/>
      </w:pPr>
      <w:r>
        <w:t xml:space="preserve">The program is open to non-profit organizations, educational institutions, and communities. </w:t>
      </w:r>
    </w:p>
    <w:p w14:paraId="663D0E14" w14:textId="585EC6FC" w:rsidR="006301FE" w:rsidRDefault="00947E4E" w:rsidP="006301FE">
      <w:pPr>
        <w:pStyle w:val="Style1"/>
        <w:numPr>
          <w:ilvl w:val="1"/>
          <w:numId w:val="2"/>
        </w:numPr>
        <w:spacing w:before="160"/>
        <w:contextualSpacing w:val="0"/>
      </w:pPr>
      <w:r>
        <w:t xml:space="preserve">To </w:t>
      </w:r>
      <w:r w:rsidR="003824D2">
        <w:t>qualify as a community</w:t>
      </w:r>
      <w:r>
        <w:t xml:space="preserve">, the </w:t>
      </w:r>
      <w:r w:rsidR="006301FE">
        <w:t>applicant must be a:</w:t>
      </w:r>
    </w:p>
    <w:p w14:paraId="4F5212FF" w14:textId="77777777" w:rsidR="006301FE" w:rsidRDefault="006301FE" w:rsidP="006301FE">
      <w:pPr>
        <w:pStyle w:val="Style1"/>
        <w:numPr>
          <w:ilvl w:val="2"/>
          <w:numId w:val="2"/>
        </w:numPr>
        <w:spacing w:before="160"/>
        <w:contextualSpacing w:val="0"/>
      </w:pPr>
      <w:r>
        <w:t xml:space="preserve">A municipality in </w:t>
      </w:r>
      <w:proofErr w:type="gramStart"/>
      <w:r>
        <w:t>Alabama;</w:t>
      </w:r>
      <w:proofErr w:type="gramEnd"/>
    </w:p>
    <w:p w14:paraId="1AAF9289" w14:textId="77777777" w:rsidR="006301FE" w:rsidRDefault="006301FE" w:rsidP="006301FE">
      <w:pPr>
        <w:pStyle w:val="Style1"/>
        <w:numPr>
          <w:ilvl w:val="2"/>
          <w:numId w:val="2"/>
        </w:numPr>
        <w:spacing w:before="160"/>
        <w:contextualSpacing w:val="0"/>
      </w:pPr>
      <w:r>
        <w:t>A county in Alabama; or</w:t>
      </w:r>
    </w:p>
    <w:p w14:paraId="5C9559B3" w14:textId="77777777" w:rsidR="006301FE" w:rsidRDefault="006301FE" w:rsidP="006301FE">
      <w:pPr>
        <w:pStyle w:val="Style1"/>
        <w:numPr>
          <w:ilvl w:val="2"/>
          <w:numId w:val="2"/>
        </w:numPr>
        <w:spacing w:before="160"/>
        <w:contextualSpacing w:val="0"/>
      </w:pPr>
      <w:r>
        <w:t>A federally recognized Native American tribe in Alabama.</w:t>
      </w:r>
    </w:p>
    <w:p w14:paraId="19F4BC37" w14:textId="43A950ED" w:rsidR="00D522A1" w:rsidRDefault="003824D2" w:rsidP="00D522A1">
      <w:pPr>
        <w:pStyle w:val="Style1"/>
        <w:numPr>
          <w:ilvl w:val="1"/>
          <w:numId w:val="2"/>
        </w:numPr>
        <w:spacing w:before="160"/>
        <w:contextualSpacing w:val="0"/>
      </w:pPr>
      <w:r>
        <w:t xml:space="preserve">To qualify as </w:t>
      </w:r>
      <w:r w:rsidR="00D522A1">
        <w:t>non-profit organization, the applicant must be a:</w:t>
      </w:r>
    </w:p>
    <w:p w14:paraId="0CDFA1BA" w14:textId="7875E0DD" w:rsidR="00D522A1" w:rsidRPr="006715F3" w:rsidRDefault="00D522A1" w:rsidP="00D522A1">
      <w:pPr>
        <w:pStyle w:val="Style1"/>
        <w:numPr>
          <w:ilvl w:val="2"/>
          <w:numId w:val="2"/>
        </w:numPr>
        <w:spacing w:before="160"/>
        <w:contextualSpacing w:val="0"/>
      </w:pPr>
      <w:r w:rsidRPr="006715F3">
        <w:t>Nonprofit validly existing and registered to do business in Alabama, with a determination letter from the Internal Revenue Service evidencing its 501(c)(3) status</w:t>
      </w:r>
      <w:r w:rsidR="00A05ACC">
        <w:t>.</w:t>
      </w:r>
    </w:p>
    <w:p w14:paraId="519E7714" w14:textId="5581A6C5" w:rsidR="009E0A2C" w:rsidRDefault="00D476B9" w:rsidP="009E0A2C">
      <w:pPr>
        <w:pStyle w:val="Style1"/>
        <w:numPr>
          <w:ilvl w:val="1"/>
          <w:numId w:val="2"/>
        </w:numPr>
        <w:spacing w:before="160"/>
        <w:contextualSpacing w:val="0"/>
      </w:pPr>
      <w:r>
        <w:lastRenderedPageBreak/>
        <w:t>To qualify as an educational institute, the applicant must be a</w:t>
      </w:r>
      <w:r w:rsidR="009E0A2C">
        <w:t xml:space="preserve"> public or private </w:t>
      </w:r>
      <w:r w:rsidR="009E0A2C" w:rsidRPr="007D1152">
        <w:t xml:space="preserve">university or college, accredited by </w:t>
      </w:r>
      <w:r w:rsidR="009E0A2C">
        <w:t>any of the</w:t>
      </w:r>
      <w:r w:rsidR="009E0A2C" w:rsidRPr="007D1152">
        <w:t xml:space="preserve"> </w:t>
      </w:r>
      <w:r w:rsidR="009E0A2C">
        <w:t xml:space="preserve">following accrediting institutions: </w:t>
      </w:r>
    </w:p>
    <w:p w14:paraId="41B9F25E" w14:textId="77777777" w:rsidR="009E0A2C" w:rsidRDefault="009E0A2C" w:rsidP="009E0A2C">
      <w:pPr>
        <w:pStyle w:val="Style1"/>
        <w:numPr>
          <w:ilvl w:val="0"/>
          <w:numId w:val="16"/>
        </w:numPr>
        <w:spacing w:before="160"/>
        <w:contextualSpacing w:val="0"/>
      </w:pPr>
      <w:r>
        <w:t>Southern Association of Colleges and Schools Commission on Colleges (SACSCOC)</w:t>
      </w:r>
    </w:p>
    <w:p w14:paraId="1593D93E" w14:textId="77777777" w:rsidR="009E0A2C" w:rsidRDefault="009E0A2C" w:rsidP="009E0A2C">
      <w:pPr>
        <w:pStyle w:val="Style1"/>
        <w:numPr>
          <w:ilvl w:val="0"/>
          <w:numId w:val="16"/>
        </w:numPr>
        <w:spacing w:before="160"/>
        <w:contextualSpacing w:val="0"/>
      </w:pPr>
      <w:r w:rsidRPr="00C473B3">
        <w:t>National Accrediting Commission of Career Arts and Sciences</w:t>
      </w:r>
      <w:r>
        <w:t xml:space="preserve"> (NACCAS)</w:t>
      </w:r>
    </w:p>
    <w:p w14:paraId="6401D1E0" w14:textId="77777777" w:rsidR="009E0A2C" w:rsidRDefault="009E0A2C" w:rsidP="009E0A2C">
      <w:pPr>
        <w:pStyle w:val="Style1"/>
        <w:numPr>
          <w:ilvl w:val="0"/>
          <w:numId w:val="16"/>
        </w:numPr>
        <w:spacing w:before="160"/>
        <w:contextualSpacing w:val="0"/>
      </w:pPr>
      <w:r w:rsidRPr="00EC724F">
        <w:t>Higher Learning Commission</w:t>
      </w:r>
      <w:r>
        <w:t xml:space="preserve"> (HLC)</w:t>
      </w:r>
    </w:p>
    <w:p w14:paraId="34DD5A9D" w14:textId="77777777" w:rsidR="009E0A2C" w:rsidRDefault="009E0A2C" w:rsidP="009E0A2C">
      <w:pPr>
        <w:pStyle w:val="Style1"/>
        <w:numPr>
          <w:ilvl w:val="0"/>
          <w:numId w:val="16"/>
        </w:numPr>
        <w:spacing w:before="160"/>
        <w:contextualSpacing w:val="0"/>
      </w:pPr>
      <w:r w:rsidRPr="00EC724F">
        <w:t>Association for Bib</w:t>
      </w:r>
      <w:r>
        <w:t>l</w:t>
      </w:r>
      <w:r w:rsidRPr="00EC724F">
        <w:t>ical Higher Educat</w:t>
      </w:r>
      <w:r>
        <w:t>i</w:t>
      </w:r>
      <w:r w:rsidRPr="00EC724F">
        <w:t>on</w:t>
      </w:r>
      <w:r>
        <w:t xml:space="preserve"> (ABHE)</w:t>
      </w:r>
    </w:p>
    <w:p w14:paraId="2AEA0384" w14:textId="77777777" w:rsidR="009E0A2C" w:rsidRDefault="009E0A2C" w:rsidP="009E0A2C">
      <w:pPr>
        <w:pStyle w:val="Style1"/>
        <w:numPr>
          <w:ilvl w:val="0"/>
          <w:numId w:val="16"/>
        </w:numPr>
        <w:spacing w:before="160"/>
        <w:contextualSpacing w:val="0"/>
      </w:pPr>
      <w:r>
        <w:t>Council on Occupational Education (COE)</w:t>
      </w:r>
    </w:p>
    <w:p w14:paraId="6E95A78E" w14:textId="77777777" w:rsidR="009E0A2C" w:rsidRDefault="009E0A2C" w:rsidP="009E0A2C">
      <w:pPr>
        <w:pStyle w:val="Style1"/>
        <w:numPr>
          <w:ilvl w:val="0"/>
          <w:numId w:val="16"/>
        </w:numPr>
        <w:spacing w:before="160"/>
        <w:contextualSpacing w:val="0"/>
      </w:pPr>
      <w:r>
        <w:t>Accrediting Commission of Career Schools and Colleges (ACCSC)</w:t>
      </w:r>
    </w:p>
    <w:p w14:paraId="7E49F329" w14:textId="77777777" w:rsidR="009E0A2C" w:rsidRDefault="009E0A2C" w:rsidP="009E0A2C">
      <w:pPr>
        <w:pStyle w:val="Style1"/>
        <w:numPr>
          <w:ilvl w:val="0"/>
          <w:numId w:val="16"/>
        </w:numPr>
        <w:spacing w:before="160"/>
        <w:contextualSpacing w:val="0"/>
      </w:pPr>
      <w:r>
        <w:t>Accrediting Bureau of Health Education Schools (ABHES)</w:t>
      </w:r>
    </w:p>
    <w:p w14:paraId="76026068" w14:textId="77777777" w:rsidR="009E0A2C" w:rsidRDefault="009E0A2C" w:rsidP="009E0A2C">
      <w:pPr>
        <w:pStyle w:val="Style1"/>
        <w:numPr>
          <w:ilvl w:val="0"/>
          <w:numId w:val="16"/>
        </w:numPr>
        <w:spacing w:before="160"/>
        <w:contextualSpacing w:val="0"/>
      </w:pPr>
      <w:r>
        <w:t>Distance Education Accrediting Commission (DEAC)</w:t>
      </w:r>
    </w:p>
    <w:p w14:paraId="14CE81DB" w14:textId="7C4F7028" w:rsidR="003824D2" w:rsidRDefault="009E0A2C" w:rsidP="009E0A2C">
      <w:pPr>
        <w:pStyle w:val="Style1"/>
        <w:numPr>
          <w:ilvl w:val="0"/>
          <w:numId w:val="16"/>
        </w:numPr>
        <w:spacing w:before="160"/>
        <w:contextualSpacing w:val="0"/>
      </w:pPr>
      <w:r w:rsidRPr="004F3078">
        <w:t>American Osteopathic Association</w:t>
      </w:r>
      <w:r>
        <w:t xml:space="preserve"> (AOA)</w:t>
      </w:r>
    </w:p>
    <w:p w14:paraId="093994E2" w14:textId="29A55036" w:rsidR="0076744F" w:rsidRPr="00902054" w:rsidRDefault="0076744F" w:rsidP="005513B0">
      <w:pPr>
        <w:pStyle w:val="Style1"/>
        <w:spacing w:before="160"/>
        <w:contextualSpacing w:val="0"/>
        <w:rPr>
          <w:b/>
          <w:bCs/>
        </w:rPr>
      </w:pPr>
      <w:r w:rsidRPr="00902054">
        <w:rPr>
          <w:b/>
          <w:bCs/>
        </w:rPr>
        <w:t>Additional Considerations</w:t>
      </w:r>
    </w:p>
    <w:p w14:paraId="0CB335DD" w14:textId="65C6DA72" w:rsidR="00902054" w:rsidRDefault="0076744F" w:rsidP="00757545">
      <w:pPr>
        <w:pStyle w:val="Style1"/>
        <w:numPr>
          <w:ilvl w:val="1"/>
          <w:numId w:val="2"/>
        </w:numPr>
        <w:spacing w:before="160"/>
        <w:contextualSpacing w:val="0"/>
      </w:pPr>
      <w:r>
        <w:t xml:space="preserve">Funding will be awarded to successful applicants at the </w:t>
      </w:r>
      <w:r w:rsidR="00A8038E">
        <w:t xml:space="preserve">sole </w:t>
      </w:r>
      <w:r>
        <w:t xml:space="preserve">discretion of Innovate Alabama. </w:t>
      </w:r>
    </w:p>
    <w:p w14:paraId="2F4B87C4" w14:textId="6F6FFBF8" w:rsidR="005825F5" w:rsidRPr="005513B0" w:rsidRDefault="005825F5" w:rsidP="005513B0">
      <w:pPr>
        <w:pStyle w:val="Style1"/>
        <w:spacing w:before="160"/>
        <w:contextualSpacing w:val="0"/>
        <w:rPr>
          <w:b/>
          <w:bCs/>
        </w:rPr>
      </w:pPr>
      <w:r w:rsidRPr="005513B0">
        <w:rPr>
          <w:b/>
          <w:bCs/>
        </w:rPr>
        <w:t xml:space="preserve">Application Requirements </w:t>
      </w:r>
    </w:p>
    <w:p w14:paraId="6F5BA223" w14:textId="7CB04FDE" w:rsidR="00BC0A89" w:rsidRDefault="00BC0A89" w:rsidP="0076247E">
      <w:pPr>
        <w:pStyle w:val="Style1"/>
        <w:numPr>
          <w:ilvl w:val="1"/>
          <w:numId w:val="2"/>
        </w:numPr>
        <w:spacing w:before="160"/>
        <w:contextualSpacing w:val="0"/>
      </w:pPr>
      <w:r>
        <w:t xml:space="preserve">The </w:t>
      </w:r>
      <w:r w:rsidR="00757545">
        <w:t>Innovate Alabama Network application</w:t>
      </w:r>
      <w:r>
        <w:t xml:space="preserve"> consists of three </w:t>
      </w:r>
      <w:r w:rsidR="00757545">
        <w:t xml:space="preserve">to </w:t>
      </w:r>
      <w:r w:rsidR="006F6469">
        <w:t xml:space="preserve">four </w:t>
      </w:r>
      <w:r>
        <w:t>parts</w:t>
      </w:r>
      <w:r w:rsidR="006F6469">
        <w:t>, depending on the applicant.</w:t>
      </w:r>
    </w:p>
    <w:p w14:paraId="49DD00E2" w14:textId="441C38C1" w:rsidR="00622262" w:rsidRPr="0076247E" w:rsidRDefault="00A05B90" w:rsidP="08164CB0">
      <w:pPr>
        <w:pStyle w:val="Style1"/>
        <w:numPr>
          <w:ilvl w:val="1"/>
          <w:numId w:val="2"/>
        </w:numPr>
        <w:spacing w:before="160"/>
        <w:rPr>
          <w:u w:val="single"/>
        </w:rPr>
      </w:pPr>
      <w:r w:rsidRPr="08164CB0">
        <w:rPr>
          <w:u w:val="single"/>
        </w:rPr>
        <w:t xml:space="preserve">Part </w:t>
      </w:r>
      <w:r w:rsidR="10DF127C" w:rsidRPr="08164CB0">
        <w:rPr>
          <w:u w:val="single"/>
        </w:rPr>
        <w:t>1</w:t>
      </w:r>
      <w:r w:rsidRPr="08164CB0">
        <w:rPr>
          <w:u w:val="single"/>
        </w:rPr>
        <w:t xml:space="preserve">: </w:t>
      </w:r>
      <w:r w:rsidR="00BC0A89" w:rsidRPr="08164CB0">
        <w:rPr>
          <w:u w:val="single"/>
        </w:rPr>
        <w:t>Narrative Application</w:t>
      </w:r>
    </w:p>
    <w:p w14:paraId="303D332B" w14:textId="3C63B829" w:rsidR="00AD1153" w:rsidRDefault="003D2A5C" w:rsidP="0076247E">
      <w:pPr>
        <w:pStyle w:val="Style1"/>
        <w:numPr>
          <w:ilvl w:val="2"/>
          <w:numId w:val="2"/>
        </w:numPr>
        <w:spacing w:before="160"/>
        <w:contextualSpacing w:val="0"/>
      </w:pPr>
      <w:r>
        <w:t>The</w:t>
      </w:r>
      <w:r w:rsidR="00016C71">
        <w:t xml:space="preserve"> application will require applicants to answer a series of questions</w:t>
      </w:r>
      <w:r w:rsidR="00731824">
        <w:t xml:space="preserve"> related to assessing the </w:t>
      </w:r>
      <w:r w:rsidR="00601F46">
        <w:t>applicant’s</w:t>
      </w:r>
      <w:r w:rsidR="00731824">
        <w:t xml:space="preserve"> existing or proposed efforts to </w:t>
      </w:r>
      <w:r w:rsidR="00DF2ECF">
        <w:t xml:space="preserve">contribute to Innovate Alabama’s programmatic goals. </w:t>
      </w:r>
      <w:r w:rsidR="001E33FB">
        <w:t>Respondents will answer four questions.</w:t>
      </w:r>
    </w:p>
    <w:p w14:paraId="520360C9" w14:textId="77777777" w:rsidR="00A21572" w:rsidRDefault="00A21572" w:rsidP="00A21572">
      <w:pPr>
        <w:pStyle w:val="Style1"/>
        <w:numPr>
          <w:ilvl w:val="3"/>
          <w:numId w:val="2"/>
        </w:numPr>
        <w:spacing w:before="160"/>
      </w:pPr>
      <w:r>
        <w:t>How does the applicant’s existing or planned programming or assets advance Innovate Alabama’s people focus?</w:t>
      </w:r>
    </w:p>
    <w:p w14:paraId="66A4DF9A" w14:textId="77777777" w:rsidR="00A21572" w:rsidRDefault="00A21572" w:rsidP="00A21572">
      <w:pPr>
        <w:pStyle w:val="Style1"/>
        <w:numPr>
          <w:ilvl w:val="3"/>
          <w:numId w:val="2"/>
        </w:numPr>
        <w:spacing w:before="160"/>
      </w:pPr>
      <w:r>
        <w:t>How does the applicant’s existing or planned programming or assets advance Innovate Alabama’s place focus?</w:t>
      </w:r>
    </w:p>
    <w:p w14:paraId="5E22F5F4" w14:textId="77777777" w:rsidR="00A21572" w:rsidRDefault="00A21572" w:rsidP="00A21572">
      <w:pPr>
        <w:pStyle w:val="Style1"/>
        <w:numPr>
          <w:ilvl w:val="3"/>
          <w:numId w:val="2"/>
        </w:numPr>
        <w:spacing w:before="160"/>
      </w:pPr>
      <w:r>
        <w:t>How does the applicant’s existing or planned programming or assets advance Innovate Alabama’s resources focus?</w:t>
      </w:r>
    </w:p>
    <w:p w14:paraId="7E4277C4" w14:textId="77777777" w:rsidR="00A21572" w:rsidRDefault="00A21572" w:rsidP="00A21572">
      <w:pPr>
        <w:pStyle w:val="Style1"/>
        <w:numPr>
          <w:ilvl w:val="3"/>
          <w:numId w:val="2"/>
        </w:numPr>
        <w:spacing w:before="160"/>
      </w:pPr>
      <w:r>
        <w:lastRenderedPageBreak/>
        <w:t>How does the applicant leverage its assets and programming to create or contribute a regional innovation ecosystem?</w:t>
      </w:r>
    </w:p>
    <w:p w14:paraId="16384DBA" w14:textId="62120B86" w:rsidR="002E25CB" w:rsidRDefault="00BA6354" w:rsidP="19596BCB">
      <w:pPr>
        <w:pStyle w:val="Style1"/>
        <w:numPr>
          <w:ilvl w:val="2"/>
          <w:numId w:val="2"/>
        </w:numPr>
        <w:spacing w:before="160"/>
      </w:pPr>
      <w:r>
        <w:t xml:space="preserve">Responses </w:t>
      </w:r>
      <w:r w:rsidR="00E708F0">
        <w:t xml:space="preserve">should be limited to </w:t>
      </w:r>
      <w:r w:rsidR="003B08EC">
        <w:t>500</w:t>
      </w:r>
      <w:r w:rsidR="000376AB">
        <w:t xml:space="preserve"> words for each question</w:t>
      </w:r>
      <w:r w:rsidR="00601F46">
        <w:t xml:space="preserve"> and should</w:t>
      </w:r>
      <w:r w:rsidR="000376AB">
        <w:t xml:space="preserve"> include references to related</w:t>
      </w:r>
      <w:r w:rsidR="006F6469">
        <w:t xml:space="preserve"> </w:t>
      </w:r>
      <w:r w:rsidR="000376AB">
        <w:t xml:space="preserve">plans, initiatives, programs, relationships, or </w:t>
      </w:r>
      <w:r w:rsidR="003F594C">
        <w:t xml:space="preserve">impacts. </w:t>
      </w:r>
      <w:r w:rsidR="002E25CB">
        <w:t>Responses that exceed the word limit</w:t>
      </w:r>
      <w:r w:rsidR="7E1168FC">
        <w:t xml:space="preserve"> </w:t>
      </w:r>
      <w:r w:rsidR="002E25CB">
        <w:t>will not be considered.</w:t>
      </w:r>
    </w:p>
    <w:p w14:paraId="3E131CF8" w14:textId="7E224D82" w:rsidR="00BA6354" w:rsidRDefault="003F594C" w:rsidP="0076247E">
      <w:pPr>
        <w:pStyle w:val="Style1"/>
        <w:numPr>
          <w:ilvl w:val="2"/>
          <w:numId w:val="2"/>
        </w:numPr>
        <w:spacing w:before="160"/>
        <w:contextualSpacing w:val="0"/>
      </w:pPr>
      <w:r>
        <w:t xml:space="preserve">Applicants will be allowed to submit </w:t>
      </w:r>
      <w:r w:rsidR="002E25CB">
        <w:t xml:space="preserve">up to </w:t>
      </w:r>
      <w:r w:rsidR="00D46A92">
        <w:t>three</w:t>
      </w:r>
      <w:r w:rsidR="002E25CB">
        <w:t xml:space="preserve"> </w:t>
      </w:r>
      <w:r>
        <w:t>supporting document</w:t>
      </w:r>
      <w:r w:rsidR="002E25CB">
        <w:t>s</w:t>
      </w:r>
      <w:r>
        <w:t xml:space="preserve"> to assist in illustrating their </w:t>
      </w:r>
      <w:r w:rsidR="00561DB9">
        <w:t>efforts.</w:t>
      </w:r>
      <w:r w:rsidR="000D6E46">
        <w:t xml:space="preserve"> </w:t>
      </w:r>
      <w:r w:rsidR="006449C3">
        <w:t>Each document</w:t>
      </w:r>
      <w:r w:rsidR="002E25CB">
        <w:t xml:space="preserve"> will be limited to </w:t>
      </w:r>
      <w:r w:rsidR="000A3E2B">
        <w:t>10 MB</w:t>
      </w:r>
      <w:r w:rsidR="006449C3">
        <w:t>.</w:t>
      </w:r>
      <w:r w:rsidR="000A3E2B">
        <w:t xml:space="preserve"> </w:t>
      </w:r>
    </w:p>
    <w:p w14:paraId="0B213235" w14:textId="3641D429" w:rsidR="00560FA0" w:rsidRDefault="00560FA0" w:rsidP="08164CB0">
      <w:pPr>
        <w:pStyle w:val="Style1"/>
        <w:numPr>
          <w:ilvl w:val="2"/>
          <w:numId w:val="2"/>
        </w:numPr>
        <w:spacing w:before="160"/>
      </w:pPr>
      <w:r>
        <w:t xml:space="preserve">Responses will be scored using the process outlined in Section </w:t>
      </w:r>
      <w:r w:rsidR="00A21572">
        <w:t>8</w:t>
      </w:r>
      <w:r>
        <w:t>.</w:t>
      </w:r>
    </w:p>
    <w:p w14:paraId="50A4BE1E" w14:textId="71A38788" w:rsidR="45925386" w:rsidRDefault="45925386" w:rsidP="08164CB0">
      <w:pPr>
        <w:pStyle w:val="Style1"/>
        <w:numPr>
          <w:ilvl w:val="1"/>
          <w:numId w:val="2"/>
        </w:numPr>
        <w:spacing w:before="160"/>
        <w:rPr>
          <w:u w:val="single"/>
        </w:rPr>
      </w:pPr>
      <w:r w:rsidRPr="08164CB0">
        <w:rPr>
          <w:u w:val="single"/>
        </w:rPr>
        <w:t xml:space="preserve">Part 2: </w:t>
      </w:r>
      <w:r w:rsidR="00B01A57">
        <w:rPr>
          <w:u w:val="single"/>
        </w:rPr>
        <w:t xml:space="preserve">Innovation </w:t>
      </w:r>
      <w:r w:rsidR="4C7264D3" w:rsidRPr="08164CB0">
        <w:rPr>
          <w:u w:val="single"/>
        </w:rPr>
        <w:t>Asset Inventory</w:t>
      </w:r>
    </w:p>
    <w:p w14:paraId="6115B6A3" w14:textId="7A401793" w:rsidR="45925386" w:rsidRDefault="45925386" w:rsidP="08164CB0">
      <w:pPr>
        <w:pStyle w:val="Style1"/>
        <w:numPr>
          <w:ilvl w:val="2"/>
          <w:numId w:val="2"/>
        </w:numPr>
        <w:spacing w:before="160"/>
      </w:pPr>
      <w:r>
        <w:t xml:space="preserve">Applicants will be required to </w:t>
      </w:r>
      <w:r w:rsidR="23497CB1">
        <w:t>inventory</w:t>
      </w:r>
      <w:r>
        <w:t xml:space="preserve"> the available innovation assets </w:t>
      </w:r>
      <w:r w:rsidR="00EF7A83">
        <w:t>associated with the applicant.</w:t>
      </w:r>
      <w:r>
        <w:t xml:space="preserve"> These assets will not contribute to the application’s score but will be used to help Innovate Alabama understand the breadth of the state’s innovation ecosystem. </w:t>
      </w:r>
    </w:p>
    <w:p w14:paraId="1992E3A1" w14:textId="6A1D5829" w:rsidR="45925386" w:rsidRDefault="45925386" w:rsidP="08164CB0">
      <w:pPr>
        <w:pStyle w:val="Style1"/>
        <w:numPr>
          <w:ilvl w:val="2"/>
          <w:numId w:val="2"/>
        </w:numPr>
        <w:spacing w:before="160"/>
      </w:pPr>
      <w:r>
        <w:t>In this section, applicants should list the existing assets and provide a short description of how it contributes to the local innovation ecosystem, including any impacts derived from it. Applicants should also note if an asset directly impacts innovation activity in a marginalized community and if it contributes to a broader regional innovation effort.</w:t>
      </w:r>
    </w:p>
    <w:p w14:paraId="0BD333EF" w14:textId="6A26C39B" w:rsidR="45925386" w:rsidRDefault="45925386" w:rsidP="08164CB0">
      <w:pPr>
        <w:pStyle w:val="Style1"/>
        <w:numPr>
          <w:ilvl w:val="2"/>
          <w:numId w:val="2"/>
        </w:numPr>
        <w:spacing w:before="160"/>
      </w:pPr>
      <w:r>
        <w:t>For an example list of innovation assets, please refer to Section 1 C.</w:t>
      </w:r>
    </w:p>
    <w:p w14:paraId="6547710F" w14:textId="5D6B75CF" w:rsidR="00622262" w:rsidRDefault="00622262" w:rsidP="005513B0">
      <w:pPr>
        <w:pStyle w:val="Style1"/>
        <w:numPr>
          <w:ilvl w:val="1"/>
          <w:numId w:val="2"/>
        </w:numPr>
        <w:spacing w:before="160"/>
        <w:contextualSpacing w:val="0"/>
        <w:rPr>
          <w:u w:val="single"/>
        </w:rPr>
      </w:pPr>
      <w:r w:rsidRPr="08164CB0">
        <w:rPr>
          <w:u w:val="single"/>
        </w:rPr>
        <w:t xml:space="preserve">Part </w:t>
      </w:r>
      <w:r w:rsidR="00016C71" w:rsidRPr="08164CB0">
        <w:rPr>
          <w:u w:val="single"/>
        </w:rPr>
        <w:t>3</w:t>
      </w:r>
      <w:r w:rsidRPr="08164CB0">
        <w:rPr>
          <w:u w:val="single"/>
        </w:rPr>
        <w:t xml:space="preserve">: </w:t>
      </w:r>
      <w:r w:rsidR="003B08EC">
        <w:rPr>
          <w:u w:val="single"/>
        </w:rPr>
        <w:t>Executive Summary</w:t>
      </w:r>
    </w:p>
    <w:p w14:paraId="7C7A8A27" w14:textId="25D8D659" w:rsidR="00AB15D0" w:rsidRPr="00620E1B" w:rsidRDefault="00AB15D0" w:rsidP="00AB15D0">
      <w:pPr>
        <w:pStyle w:val="Style1"/>
        <w:numPr>
          <w:ilvl w:val="2"/>
          <w:numId w:val="2"/>
        </w:numPr>
        <w:spacing w:before="160"/>
        <w:contextualSpacing w:val="0"/>
        <w:rPr>
          <w:u w:val="single"/>
        </w:rPr>
      </w:pPr>
      <w:r>
        <w:t xml:space="preserve">Applicants will be required to submit an executive summary </w:t>
      </w:r>
      <w:r w:rsidR="00620E1B">
        <w:t>form</w:t>
      </w:r>
      <w:r w:rsidR="003F7688">
        <w:t xml:space="preserve">. This form should contain the same answers </w:t>
      </w:r>
      <w:r w:rsidR="00DC4F46">
        <w:t>as the narrative application.</w:t>
      </w:r>
    </w:p>
    <w:p w14:paraId="7E438570" w14:textId="7C8B82A6" w:rsidR="003F7688" w:rsidRPr="00FD78A8" w:rsidRDefault="00620E1B" w:rsidP="003F7688">
      <w:pPr>
        <w:pStyle w:val="Style1"/>
        <w:numPr>
          <w:ilvl w:val="2"/>
          <w:numId w:val="2"/>
        </w:numPr>
        <w:spacing w:before="160"/>
        <w:contextualSpacing w:val="0"/>
        <w:rPr>
          <w:u w:val="single"/>
        </w:rPr>
      </w:pPr>
      <w:r>
        <w:t>This form is located on the website</w:t>
      </w:r>
      <w:r w:rsidR="00CC331B">
        <w:t>. It should be completed and submitted in a PDF format at the time of application.</w:t>
      </w:r>
    </w:p>
    <w:p w14:paraId="26BD8A01" w14:textId="44531162" w:rsidR="00FD78A8" w:rsidRPr="00563E5B" w:rsidRDefault="00FD78A8" w:rsidP="003F7688">
      <w:pPr>
        <w:pStyle w:val="Style1"/>
        <w:numPr>
          <w:ilvl w:val="2"/>
          <w:numId w:val="2"/>
        </w:numPr>
        <w:spacing w:before="160"/>
        <w:contextualSpacing w:val="0"/>
        <w:rPr>
          <w:u w:val="single"/>
        </w:rPr>
      </w:pPr>
      <w:r>
        <w:t>This form should be attached separately from other application materials.</w:t>
      </w:r>
    </w:p>
    <w:p w14:paraId="5CE16C55" w14:textId="2A660F3A" w:rsidR="00563E5B" w:rsidRDefault="00563E5B" w:rsidP="00563E5B">
      <w:pPr>
        <w:pStyle w:val="Style1"/>
        <w:numPr>
          <w:ilvl w:val="1"/>
          <w:numId w:val="2"/>
        </w:numPr>
        <w:spacing w:before="160"/>
        <w:contextualSpacing w:val="0"/>
        <w:rPr>
          <w:u w:val="single"/>
        </w:rPr>
      </w:pPr>
      <w:r>
        <w:rPr>
          <w:u w:val="single"/>
        </w:rPr>
        <w:t>Part 4: Capacity Assessment (ONLY REQUIRED FOR NON-PROFIT APPLICANTS)</w:t>
      </w:r>
    </w:p>
    <w:p w14:paraId="323F0509" w14:textId="7F3F4E03" w:rsidR="00A31412" w:rsidRDefault="00A31412" w:rsidP="00A31412">
      <w:pPr>
        <w:pStyle w:val="Style1"/>
        <w:numPr>
          <w:ilvl w:val="2"/>
          <w:numId w:val="2"/>
        </w:numPr>
        <w:spacing w:before="160"/>
      </w:pPr>
      <w:r>
        <w:t>A</w:t>
      </w:r>
      <w:r w:rsidR="00FD78A8">
        <w:t xml:space="preserve"> non-profit entity</w:t>
      </w:r>
      <w:r>
        <w:t xml:space="preserve"> will answer a series of questions designed to assess its organizational health, which refers to its capacity to support and catalyze innovation. Components may include a mission or vision statement, governance model, financial plan, and/or clear evaluation metrics, among others. The maximum score </w:t>
      </w:r>
      <w:r>
        <w:lastRenderedPageBreak/>
        <w:t xml:space="preserve">will be 10 points. Entities with a score higher than 5 will be designated a higher capacity entity. Those with a score lower than 5 or </w:t>
      </w:r>
      <w:r w:rsidR="005E570F">
        <w:t xml:space="preserve">non-profit </w:t>
      </w:r>
      <w:r>
        <w:t>entities in a rural location will be a lower capacity entity.</w:t>
      </w:r>
      <w:r>
        <w:rPr>
          <w:rStyle w:val="FootnoteReference"/>
        </w:rPr>
        <w:footnoteReference w:id="2"/>
      </w:r>
    </w:p>
    <w:p w14:paraId="76130393" w14:textId="217CC0F7" w:rsidR="00563E5B" w:rsidRPr="00A31412" w:rsidRDefault="00A31412" w:rsidP="00A31412">
      <w:pPr>
        <w:pStyle w:val="Style1"/>
        <w:numPr>
          <w:ilvl w:val="2"/>
          <w:numId w:val="2"/>
        </w:numPr>
        <w:spacing w:before="160"/>
      </w:pPr>
      <w:r>
        <w:t xml:space="preserve">This portion of the application will have no bearing on the entity’s total score. The capacity designation will determine the entity’s designation scoring threshold. Higher capacity organizations will be expected to earn a higher score on the narrative application to earn </w:t>
      </w:r>
      <w:r w:rsidR="00F559BF">
        <w:t>entry into the Innovate Alabama Network.</w:t>
      </w:r>
    </w:p>
    <w:p w14:paraId="195EF686" w14:textId="5C4F967C" w:rsidR="004A6244" w:rsidRDefault="00881691" w:rsidP="00881691">
      <w:pPr>
        <w:pStyle w:val="Style1"/>
        <w:numPr>
          <w:ilvl w:val="1"/>
          <w:numId w:val="2"/>
        </w:numPr>
        <w:spacing w:before="160"/>
        <w:contextualSpacing w:val="0"/>
      </w:pPr>
      <w:r>
        <w:t>The amount and all terms and conditions of the award must be memorialized in a grant agreement between Innovate Alabama and the applicant (the “Grant Agreement”). The Grant Agreement shall provide for the return of grant funds if the applicant does not comply with these guidelines, or if the applicant should repeatedly fail to file reports demonstrating such compliance.</w:t>
      </w:r>
    </w:p>
    <w:p w14:paraId="2CF24B8A" w14:textId="277B8DF9" w:rsidR="000C0E33" w:rsidRDefault="00881691" w:rsidP="00A357F2">
      <w:pPr>
        <w:pStyle w:val="Style1"/>
        <w:numPr>
          <w:ilvl w:val="1"/>
          <w:numId w:val="2"/>
        </w:numPr>
        <w:spacing w:before="160"/>
        <w:contextualSpacing w:val="0"/>
      </w:pPr>
      <w:r>
        <w:t xml:space="preserve">All documents submitted to Innovate Alabama become the property of Innovate Alabama. The applicant should not disclose to Innovate Alabama any confidential or proprietary information that would adversely affect its intellectual property rights. Innovate Alabama and its members will not be bound by any requirements or expectations of confidentiality as a part of administering the </w:t>
      </w:r>
      <w:r w:rsidR="00EF7A83">
        <w:t>Innovate Alabama Network.</w:t>
      </w:r>
    </w:p>
    <w:p w14:paraId="5EA60BE8" w14:textId="4B5D03AA" w:rsidR="0008301C" w:rsidRPr="00E90099" w:rsidRDefault="0008301C" w:rsidP="00A357F2">
      <w:pPr>
        <w:pStyle w:val="Style1"/>
        <w:rPr>
          <w:b/>
          <w:bCs/>
        </w:rPr>
      </w:pPr>
      <w:r w:rsidRPr="00E90099">
        <w:rPr>
          <w:b/>
          <w:bCs/>
        </w:rPr>
        <w:t>Application Scoring</w:t>
      </w:r>
    </w:p>
    <w:p w14:paraId="361FA644" w14:textId="0B969797" w:rsidR="002E3877" w:rsidRDefault="00702BC5" w:rsidP="08164CB0">
      <w:pPr>
        <w:pStyle w:val="Style1"/>
        <w:numPr>
          <w:ilvl w:val="1"/>
          <w:numId w:val="2"/>
        </w:numPr>
        <w:spacing w:before="160"/>
      </w:pPr>
      <w:r>
        <w:t>Innovate Alabama will score</w:t>
      </w:r>
      <w:r w:rsidR="002B2923">
        <w:t xml:space="preserve"> </w:t>
      </w:r>
      <w:r w:rsidR="00F559BF">
        <w:t>the Narrative Application</w:t>
      </w:r>
      <w:r w:rsidR="002B2923">
        <w:t xml:space="preserve"> on a </w:t>
      </w:r>
      <w:r w:rsidR="00C7584E">
        <w:t>1</w:t>
      </w:r>
      <w:r w:rsidR="33F289E9">
        <w:t>6</w:t>
      </w:r>
      <w:r w:rsidR="00C7584E">
        <w:t>-point</w:t>
      </w:r>
      <w:r w:rsidR="002B2923">
        <w:t xml:space="preserve"> scale. These scores will reflect how strongly the narrative shows the community </w:t>
      </w:r>
      <w:r w:rsidR="00C7584E">
        <w:t xml:space="preserve">is advancing or plans to advance the three focus areas of Innovate Alabama in </w:t>
      </w:r>
      <w:r w:rsidR="00031510">
        <w:t>its region</w:t>
      </w:r>
      <w:r w:rsidR="00C7584E">
        <w:t xml:space="preserve"> and across the state.</w:t>
      </w:r>
    </w:p>
    <w:p w14:paraId="6286E712" w14:textId="0E4202F7" w:rsidR="000C56E8" w:rsidRDefault="000C56E8" w:rsidP="08164CB0">
      <w:pPr>
        <w:pStyle w:val="Style1"/>
        <w:numPr>
          <w:ilvl w:val="1"/>
          <w:numId w:val="2"/>
        </w:numPr>
        <w:spacing w:before="160"/>
      </w:pPr>
      <w:r>
        <w:t>Depending on whether the applicant is a non-profit entity, educational institution, or community, determines the score needed to gain admission into the network.</w:t>
      </w:r>
    </w:p>
    <w:p w14:paraId="4BA10D23" w14:textId="2AB64EA3" w:rsidR="000C56E8" w:rsidRDefault="000C56E8" w:rsidP="000C56E8">
      <w:pPr>
        <w:pStyle w:val="Style1"/>
        <w:numPr>
          <w:ilvl w:val="1"/>
          <w:numId w:val="2"/>
        </w:numPr>
        <w:spacing w:before="160"/>
      </w:pPr>
      <w:r>
        <w:t xml:space="preserve">For </w:t>
      </w:r>
      <w:r w:rsidR="00787BFF">
        <w:t xml:space="preserve">eligible </w:t>
      </w:r>
      <w:r>
        <w:t>community applicants:</w:t>
      </w:r>
    </w:p>
    <w:p w14:paraId="5CBC7389" w14:textId="5AE6D514" w:rsidR="00030621" w:rsidRDefault="00030621" w:rsidP="000C56E8">
      <w:pPr>
        <w:pStyle w:val="Style1"/>
        <w:numPr>
          <w:ilvl w:val="2"/>
          <w:numId w:val="2"/>
        </w:numPr>
        <w:spacing w:before="160"/>
      </w:pPr>
      <w:r>
        <w:t xml:space="preserve">Communities that receive a score of </w:t>
      </w:r>
      <w:r w:rsidR="00734F35">
        <w:t>6</w:t>
      </w:r>
      <w:r w:rsidR="006821F1">
        <w:t xml:space="preserve"> or more will earn an </w:t>
      </w:r>
      <w:r w:rsidR="007A2BDC">
        <w:t>admission into the Innovate Alabama Network</w:t>
      </w:r>
      <w:r w:rsidR="006821F1">
        <w:t xml:space="preserve">. </w:t>
      </w:r>
    </w:p>
    <w:p w14:paraId="7F53C3F2" w14:textId="5F11A7D3" w:rsidR="00C279E9" w:rsidRDefault="00C279E9" w:rsidP="000C56E8">
      <w:pPr>
        <w:pStyle w:val="Style1"/>
        <w:numPr>
          <w:ilvl w:val="2"/>
          <w:numId w:val="2"/>
        </w:numPr>
        <w:spacing w:before="160"/>
      </w:pPr>
      <w:r>
        <w:t xml:space="preserve">Communities who receive a score </w:t>
      </w:r>
      <w:r w:rsidR="00734F35">
        <w:t xml:space="preserve">of 5 or </w:t>
      </w:r>
      <w:proofErr w:type="gramStart"/>
      <w:r w:rsidR="00734F35">
        <w:t>below</w:t>
      </w:r>
      <w:r>
        <w:t>,</w:t>
      </w:r>
      <w:proofErr w:type="gramEnd"/>
      <w:r>
        <w:t xml:space="preserve"> will receive </w:t>
      </w:r>
      <w:r w:rsidR="007A2BDC">
        <w:t>a</w:t>
      </w:r>
      <w:r>
        <w:t xml:space="preserve"> </w:t>
      </w:r>
      <w:r w:rsidR="007A2BDC">
        <w:t>gain entry to the Innovate Alabama Network as an “Emerging Innovation Community”</w:t>
      </w:r>
      <w:r>
        <w:t xml:space="preserve">. This designation will award communities with a smaller monetary award to help strengthen their score for future </w:t>
      </w:r>
      <w:r>
        <w:lastRenderedPageBreak/>
        <w:t xml:space="preserve">application rounds. These communities will be eligible to </w:t>
      </w:r>
      <w:r w:rsidR="00B01741">
        <w:t>the Innovate Alabama Network as a regular member, along with a larger monetary award, in the future.</w:t>
      </w:r>
    </w:p>
    <w:p w14:paraId="675BD2CE" w14:textId="327C73C8" w:rsidR="000C56E8" w:rsidRDefault="000C56E8" w:rsidP="000C56E8">
      <w:pPr>
        <w:pStyle w:val="Style1"/>
        <w:numPr>
          <w:ilvl w:val="1"/>
          <w:numId w:val="2"/>
        </w:numPr>
        <w:spacing w:before="160"/>
      </w:pPr>
      <w:r>
        <w:t xml:space="preserve">For </w:t>
      </w:r>
      <w:r w:rsidR="00787BFF">
        <w:t xml:space="preserve">eligible </w:t>
      </w:r>
      <w:r>
        <w:t>non-pro</w:t>
      </w:r>
      <w:r w:rsidR="00B01741">
        <w:t>fit organizations:</w:t>
      </w:r>
    </w:p>
    <w:p w14:paraId="5A89D7B3" w14:textId="088B1B28" w:rsidR="00787BFF" w:rsidRDefault="00787BFF" w:rsidP="00787BFF">
      <w:pPr>
        <w:pStyle w:val="Style1"/>
        <w:numPr>
          <w:ilvl w:val="2"/>
          <w:numId w:val="2"/>
        </w:numPr>
        <w:spacing w:before="160"/>
      </w:pPr>
      <w:r>
        <w:t xml:space="preserve">Higher capacity entities (as designated in 7. e.) that earn a score of 10 or higher will earn admission into the Innovate Alabama Network. </w:t>
      </w:r>
    </w:p>
    <w:p w14:paraId="7524DD5E" w14:textId="541640EA" w:rsidR="00787BFF" w:rsidRDefault="00787BFF" w:rsidP="00787BFF">
      <w:pPr>
        <w:pStyle w:val="Style1"/>
        <w:numPr>
          <w:ilvl w:val="2"/>
          <w:numId w:val="2"/>
        </w:numPr>
        <w:spacing w:before="160"/>
      </w:pPr>
      <w:r>
        <w:t xml:space="preserve">Lower capacity entities (as designated in 7. </w:t>
      </w:r>
      <w:r w:rsidR="00EF7A83">
        <w:t>e</w:t>
      </w:r>
      <w:r>
        <w:t xml:space="preserve">.) or applicants located in rural locations, that earn a score of 5 or higher will earn admission into the Innovate Alabama Network. </w:t>
      </w:r>
    </w:p>
    <w:p w14:paraId="3B7DBC83" w14:textId="162D7DAF" w:rsidR="007133EF" w:rsidRDefault="007133EF" w:rsidP="007133EF">
      <w:pPr>
        <w:pStyle w:val="Style1"/>
        <w:numPr>
          <w:ilvl w:val="1"/>
          <w:numId w:val="2"/>
        </w:numPr>
        <w:spacing w:before="160"/>
      </w:pPr>
      <w:r>
        <w:t>For eligible educational institutions:</w:t>
      </w:r>
    </w:p>
    <w:p w14:paraId="35BEEC79" w14:textId="72234239" w:rsidR="007133EF" w:rsidRDefault="006F0014" w:rsidP="009C0DDB">
      <w:pPr>
        <w:pStyle w:val="Style1"/>
        <w:numPr>
          <w:ilvl w:val="2"/>
          <w:numId w:val="2"/>
        </w:numPr>
        <w:spacing w:before="160"/>
        <w:contextualSpacing w:val="0"/>
      </w:pPr>
      <w:r>
        <w:t>Institutions that receive a score of 9 or more will earn ad</w:t>
      </w:r>
      <w:r w:rsidR="009C0DDB">
        <w:t>mission into the Innovate Alabama Network.</w:t>
      </w:r>
    </w:p>
    <w:p w14:paraId="66CCC905" w14:textId="0BEDBBB8" w:rsidR="0008301C" w:rsidRPr="00306CFB" w:rsidRDefault="0008301C" w:rsidP="002363EA">
      <w:pPr>
        <w:pStyle w:val="Style1"/>
        <w:spacing w:before="160"/>
        <w:contextualSpacing w:val="0"/>
        <w:rPr>
          <w:b/>
          <w:bCs/>
        </w:rPr>
      </w:pPr>
      <w:r w:rsidRPr="00306CFB">
        <w:rPr>
          <w:b/>
          <w:bCs/>
        </w:rPr>
        <w:t>Award Process</w:t>
      </w:r>
    </w:p>
    <w:p w14:paraId="6E4FFB2F" w14:textId="793DA429" w:rsidR="00734F35" w:rsidRDefault="001754C9" w:rsidP="0076247E">
      <w:pPr>
        <w:pStyle w:val="Style1"/>
        <w:numPr>
          <w:ilvl w:val="1"/>
          <w:numId w:val="2"/>
        </w:numPr>
        <w:spacing w:before="160"/>
        <w:contextualSpacing w:val="0"/>
      </w:pPr>
      <w:r>
        <w:t>Applicants who successfully earn a</w:t>
      </w:r>
      <w:r w:rsidR="009C0DDB">
        <w:t xml:space="preserve">dmission into the Innovate Alabama Network </w:t>
      </w:r>
      <w:r>
        <w:t xml:space="preserve">will earn </w:t>
      </w:r>
      <w:r w:rsidR="00734F35">
        <w:t>an award as written in 4</w:t>
      </w:r>
      <w:r w:rsidR="005E6A7A">
        <w:t xml:space="preserve">. </w:t>
      </w:r>
      <w:r w:rsidR="001B298C">
        <w:t>a.</w:t>
      </w:r>
    </w:p>
    <w:p w14:paraId="7427C95E" w14:textId="077A7D87" w:rsidR="001754C9" w:rsidRDefault="0076247E" w:rsidP="0076247E">
      <w:pPr>
        <w:pStyle w:val="Style1"/>
        <w:numPr>
          <w:ilvl w:val="1"/>
          <w:numId w:val="2"/>
        </w:numPr>
        <w:spacing w:before="160"/>
        <w:contextualSpacing w:val="0"/>
      </w:pPr>
      <w:r>
        <w:t xml:space="preserve">Innovate Alabama </w:t>
      </w:r>
      <w:r w:rsidR="00285EB3" w:rsidRPr="00285EB3">
        <w:t xml:space="preserve">will determine the means by which awards will be disbursed and may require reporting and proof of expenditures before making an award. </w:t>
      </w:r>
      <w:r>
        <w:t xml:space="preserve">Innovate Alabama </w:t>
      </w:r>
      <w:r w:rsidR="00285EB3" w:rsidRPr="00285EB3">
        <w:t>may impose conditions on the payment of awards at any time before such a payment is made.</w:t>
      </w:r>
    </w:p>
    <w:p w14:paraId="56D2D39C" w14:textId="1AAFF040" w:rsidR="0008301C" w:rsidRPr="002363EA" w:rsidRDefault="0008301C" w:rsidP="002363EA">
      <w:pPr>
        <w:pStyle w:val="Style1"/>
        <w:spacing w:before="160"/>
        <w:contextualSpacing w:val="0"/>
        <w:rPr>
          <w:b/>
          <w:bCs/>
        </w:rPr>
      </w:pPr>
      <w:r w:rsidRPr="002363EA">
        <w:rPr>
          <w:b/>
          <w:bCs/>
        </w:rPr>
        <w:t>Reporting</w:t>
      </w:r>
    </w:p>
    <w:p w14:paraId="46D827D5" w14:textId="7A7837D2" w:rsidR="00306CFB" w:rsidRDefault="00471CC0" w:rsidP="0076247E">
      <w:pPr>
        <w:pStyle w:val="Style1"/>
        <w:numPr>
          <w:ilvl w:val="1"/>
          <w:numId w:val="2"/>
        </w:numPr>
        <w:spacing w:before="160"/>
        <w:contextualSpacing w:val="0"/>
      </w:pPr>
      <w:r>
        <w:t>Award</w:t>
      </w:r>
      <w:r w:rsidR="00306CFB">
        <w:t xml:space="preserve"> recipients will be required to submit a </w:t>
      </w:r>
      <w:r w:rsidR="00A27A4A">
        <w:t>6- and 12-month</w:t>
      </w:r>
      <w:r w:rsidR="00306CFB">
        <w:t xml:space="preserve"> </w:t>
      </w:r>
      <w:r w:rsidR="00C8220C">
        <w:t xml:space="preserve">report to </w:t>
      </w:r>
      <w:r w:rsidR="0076247E">
        <w:t>Innovate Alabama</w:t>
      </w:r>
      <w:r w:rsidR="00C8220C">
        <w:t xml:space="preserve"> documenting the use of </w:t>
      </w:r>
      <w:r w:rsidR="00085569">
        <w:t xml:space="preserve">award </w:t>
      </w:r>
      <w:r w:rsidR="00C8220C">
        <w:t>funds, project progress, and project impact</w:t>
      </w:r>
      <w:r w:rsidR="00A27A4A">
        <w:t xml:space="preserve">s. The report must include </w:t>
      </w:r>
      <w:r w:rsidR="00FF7420">
        <w:t>a short summary indicating the progress that has been made, including, but not limited to:</w:t>
      </w:r>
    </w:p>
    <w:p w14:paraId="0BD73542" w14:textId="0C247810" w:rsidR="00FF7420" w:rsidRDefault="00CB3296" w:rsidP="0076247E">
      <w:pPr>
        <w:pStyle w:val="Style1"/>
        <w:numPr>
          <w:ilvl w:val="2"/>
          <w:numId w:val="2"/>
        </w:numPr>
        <w:spacing w:before="160"/>
        <w:contextualSpacing w:val="0"/>
      </w:pPr>
      <w:r>
        <w:t xml:space="preserve">Total award funds </w:t>
      </w:r>
      <w:proofErr w:type="gramStart"/>
      <w:r>
        <w:t>used</w:t>
      </w:r>
      <w:r w:rsidR="00477680">
        <w:t>;</w:t>
      </w:r>
      <w:proofErr w:type="gramEnd"/>
    </w:p>
    <w:p w14:paraId="4922A119" w14:textId="703E9657" w:rsidR="00CB3296" w:rsidRDefault="00CB3296" w:rsidP="0076247E">
      <w:pPr>
        <w:pStyle w:val="Style1"/>
        <w:numPr>
          <w:ilvl w:val="2"/>
          <w:numId w:val="2"/>
        </w:numPr>
        <w:spacing w:before="160"/>
        <w:contextualSpacing w:val="0"/>
      </w:pPr>
      <w:r>
        <w:t xml:space="preserve">Additional </w:t>
      </w:r>
      <w:r w:rsidR="00477680">
        <w:t xml:space="preserve">capital raised from all </w:t>
      </w:r>
      <w:proofErr w:type="gramStart"/>
      <w:r w:rsidR="00477680">
        <w:t>sources;</w:t>
      </w:r>
      <w:proofErr w:type="gramEnd"/>
    </w:p>
    <w:p w14:paraId="449CCCFB" w14:textId="0C1AFFD4" w:rsidR="00801060" w:rsidRDefault="00801060" w:rsidP="0076247E">
      <w:pPr>
        <w:pStyle w:val="Style1"/>
        <w:numPr>
          <w:ilvl w:val="2"/>
          <w:numId w:val="2"/>
        </w:numPr>
        <w:spacing w:before="160"/>
        <w:contextualSpacing w:val="0"/>
      </w:pPr>
      <w:r>
        <w:t xml:space="preserve">Number of partners engaged around project </w:t>
      </w:r>
      <w:proofErr w:type="gramStart"/>
      <w:r>
        <w:t>development;</w:t>
      </w:r>
      <w:proofErr w:type="gramEnd"/>
    </w:p>
    <w:p w14:paraId="43B20C46" w14:textId="360D8FD9" w:rsidR="00801060" w:rsidRDefault="00801060" w:rsidP="0076247E">
      <w:pPr>
        <w:pStyle w:val="Style1"/>
        <w:numPr>
          <w:ilvl w:val="2"/>
          <w:numId w:val="2"/>
        </w:numPr>
        <w:spacing w:before="160"/>
        <w:contextualSpacing w:val="0"/>
      </w:pPr>
      <w:r>
        <w:t xml:space="preserve">Number of new innovation jobs created or </w:t>
      </w:r>
      <w:proofErr w:type="gramStart"/>
      <w:r>
        <w:t>retained</w:t>
      </w:r>
      <w:r w:rsidR="00EE5F46">
        <w:t>;</w:t>
      </w:r>
      <w:proofErr w:type="gramEnd"/>
    </w:p>
    <w:p w14:paraId="57AC093D" w14:textId="0BFC833F" w:rsidR="00EE5F46" w:rsidRDefault="00EE5F46" w:rsidP="0076247E">
      <w:pPr>
        <w:pStyle w:val="Style1"/>
        <w:numPr>
          <w:ilvl w:val="2"/>
          <w:numId w:val="2"/>
        </w:numPr>
        <w:spacing w:before="160"/>
        <w:contextualSpacing w:val="0"/>
      </w:pPr>
      <w:r>
        <w:t xml:space="preserve">Number of residents served by new </w:t>
      </w:r>
      <w:proofErr w:type="gramStart"/>
      <w:r>
        <w:t>programming</w:t>
      </w:r>
      <w:r w:rsidR="000768F9">
        <w:t>;</w:t>
      </w:r>
      <w:proofErr w:type="gramEnd"/>
    </w:p>
    <w:p w14:paraId="482D9E84" w14:textId="77777777" w:rsidR="000768F9" w:rsidRDefault="000768F9" w:rsidP="000768F9">
      <w:pPr>
        <w:pStyle w:val="Style1"/>
        <w:numPr>
          <w:ilvl w:val="2"/>
          <w:numId w:val="2"/>
        </w:numPr>
        <w:spacing w:before="160" w:line="256" w:lineRule="auto"/>
      </w:pPr>
      <w:r>
        <w:t>Any new scientific discoveries, including patents or commercialization efforts; and</w:t>
      </w:r>
    </w:p>
    <w:p w14:paraId="07334B1A" w14:textId="0B94AC9C" w:rsidR="000768F9" w:rsidRDefault="000768F9" w:rsidP="000768F9">
      <w:pPr>
        <w:pStyle w:val="Style1"/>
        <w:numPr>
          <w:ilvl w:val="2"/>
          <w:numId w:val="2"/>
        </w:numPr>
        <w:spacing w:before="160" w:line="256" w:lineRule="auto"/>
      </w:pPr>
      <w:r>
        <w:t>New businesses created or supported by the funding.</w:t>
      </w:r>
    </w:p>
    <w:p w14:paraId="01F6C3C0" w14:textId="4CB5F597" w:rsidR="00EE5F46" w:rsidRDefault="0076247E" w:rsidP="0076247E">
      <w:pPr>
        <w:pStyle w:val="Style1"/>
        <w:numPr>
          <w:ilvl w:val="1"/>
          <w:numId w:val="2"/>
        </w:numPr>
        <w:spacing w:before="160"/>
        <w:contextualSpacing w:val="0"/>
      </w:pPr>
      <w:r>
        <w:lastRenderedPageBreak/>
        <w:t>Innovate Alabama</w:t>
      </w:r>
      <w:r w:rsidR="00EE5F46">
        <w:t xml:space="preserve"> may require additional </w:t>
      </w:r>
      <w:r w:rsidR="002363EA">
        <w:t xml:space="preserve">topics to be included at </w:t>
      </w:r>
      <w:r w:rsidR="00D46A92">
        <w:t>its</w:t>
      </w:r>
      <w:r w:rsidR="002363EA">
        <w:t xml:space="preserve"> discretion.</w:t>
      </w:r>
    </w:p>
    <w:p w14:paraId="21AF6229" w14:textId="59F8CBC2" w:rsidR="00FA7E4E" w:rsidRDefault="00FA7E4E" w:rsidP="0076247E">
      <w:pPr>
        <w:pStyle w:val="Style1"/>
        <w:numPr>
          <w:ilvl w:val="1"/>
          <w:numId w:val="2"/>
        </w:numPr>
        <w:spacing w:before="160"/>
        <w:contextualSpacing w:val="0"/>
      </w:pPr>
      <w:r>
        <w:t xml:space="preserve">If the applicant does not complete either the </w:t>
      </w:r>
      <w:r w:rsidR="0076247E">
        <w:t>6- or 12-month</w:t>
      </w:r>
      <w:r>
        <w:t xml:space="preserve"> reporting period, future funding may not be granted.</w:t>
      </w:r>
    </w:p>
    <w:p w14:paraId="0D46B89A" w14:textId="0103F341" w:rsidR="00B34913" w:rsidRDefault="00B34913" w:rsidP="0008301C">
      <w:pPr>
        <w:pStyle w:val="Style1"/>
        <w:rPr>
          <w:b/>
          <w:bCs/>
        </w:rPr>
      </w:pPr>
      <w:r w:rsidRPr="007A4768">
        <w:rPr>
          <w:b/>
          <w:bCs/>
        </w:rPr>
        <w:t>Timeline</w:t>
      </w:r>
    </w:p>
    <w:p w14:paraId="097D5B71" w14:textId="27112FAA" w:rsidR="00B574D1" w:rsidRDefault="00B574D1" w:rsidP="00B574D1">
      <w:pPr>
        <w:pStyle w:val="Style1"/>
        <w:numPr>
          <w:ilvl w:val="1"/>
          <w:numId w:val="2"/>
        </w:numPr>
        <w:spacing w:before="240" w:after="0"/>
      </w:pPr>
      <w:r>
        <w:t>Innovate Alabama will accept applications</w:t>
      </w:r>
      <w:r w:rsidR="00B424BC">
        <w:t xml:space="preserve"> for </w:t>
      </w:r>
      <w:r w:rsidR="00A046C6">
        <w:t>R</w:t>
      </w:r>
      <w:r w:rsidR="00B424BC">
        <w:t>ound 2 of the program</w:t>
      </w:r>
      <w:r>
        <w:t xml:space="preserve"> beginning on </w:t>
      </w:r>
      <w:r w:rsidR="00B424BC">
        <w:t>September</w:t>
      </w:r>
      <w:r w:rsidR="004D6D5B">
        <w:t xml:space="preserve"> 9, 20</w:t>
      </w:r>
      <w:r w:rsidR="0003082F">
        <w:t>2</w:t>
      </w:r>
      <w:r w:rsidR="004D6D5B">
        <w:t>3</w:t>
      </w:r>
      <w:r>
        <w:t>. Applications will be accepted on a rolling basis</w:t>
      </w:r>
      <w:r w:rsidR="00510ED8">
        <w:t>. Round 2 will close at 5 PM C</w:t>
      </w:r>
      <w:r w:rsidR="00B7169C">
        <w:t>T</w:t>
      </w:r>
      <w:r w:rsidR="00510ED8">
        <w:t xml:space="preserve"> on January 5</w:t>
      </w:r>
      <w:r w:rsidR="00510ED8" w:rsidRPr="00510ED8">
        <w:rPr>
          <w:vertAlign w:val="superscript"/>
        </w:rPr>
        <w:t>th</w:t>
      </w:r>
      <w:r w:rsidR="00510ED8">
        <w:t>, 2024.</w:t>
      </w:r>
    </w:p>
    <w:p w14:paraId="3098CB1F" w14:textId="4AFE6984" w:rsidR="00932141" w:rsidRPr="00036E04" w:rsidRDefault="00932141" w:rsidP="00FB28B1">
      <w:pPr>
        <w:pStyle w:val="Style1"/>
        <w:spacing w:before="160"/>
        <w:contextualSpacing w:val="0"/>
        <w:rPr>
          <w:b/>
          <w:bCs/>
        </w:rPr>
      </w:pPr>
      <w:r w:rsidRPr="00036E04">
        <w:rPr>
          <w:b/>
          <w:bCs/>
        </w:rPr>
        <w:t>Audit Oversight</w:t>
      </w:r>
    </w:p>
    <w:p w14:paraId="554A7C3D" w14:textId="459F6095" w:rsidR="00036E04" w:rsidRDefault="00036E04" w:rsidP="0076247E">
      <w:pPr>
        <w:pStyle w:val="Style1"/>
        <w:numPr>
          <w:ilvl w:val="1"/>
          <w:numId w:val="2"/>
        </w:numPr>
      </w:pPr>
      <w:r w:rsidRPr="00036E04">
        <w:t xml:space="preserve">The applicant shall maintain records to document its </w:t>
      </w:r>
      <w:r w:rsidR="00B3701C" w:rsidRPr="00036E04">
        <w:t>expenditure</w:t>
      </w:r>
      <w:r w:rsidRPr="00036E04">
        <w:t xml:space="preserve"> of the funds for a minimum of five years after the date of the award. All such records and accounts shall be made available on reasonable demand to Innovate Alabama.</w:t>
      </w:r>
    </w:p>
    <w:p w14:paraId="19BF7237" w14:textId="77777777" w:rsidR="006F105B" w:rsidRDefault="006F105B" w:rsidP="00036E04">
      <w:pPr>
        <w:pStyle w:val="Style1"/>
        <w:numPr>
          <w:ilvl w:val="0"/>
          <w:numId w:val="0"/>
        </w:numPr>
      </w:pPr>
    </w:p>
    <w:p w14:paraId="59EBCD08" w14:textId="3847A0C1" w:rsidR="006F105B" w:rsidRPr="006F105B" w:rsidRDefault="006F105B" w:rsidP="006F105B">
      <w:pPr>
        <w:pStyle w:val="Style1"/>
        <w:spacing w:before="160"/>
        <w:contextualSpacing w:val="0"/>
        <w:rPr>
          <w:b/>
          <w:bCs/>
        </w:rPr>
      </w:pPr>
      <w:r w:rsidRPr="006F105B">
        <w:rPr>
          <w:b/>
          <w:bCs/>
        </w:rPr>
        <w:t>Additional Information</w:t>
      </w:r>
    </w:p>
    <w:p w14:paraId="1BA86DF5" w14:textId="4A808AA0" w:rsidR="00D00F8C" w:rsidRDefault="006F105B" w:rsidP="0076247E">
      <w:pPr>
        <w:pStyle w:val="Style1"/>
        <w:numPr>
          <w:ilvl w:val="1"/>
          <w:numId w:val="2"/>
        </w:numPr>
      </w:pPr>
      <w:r>
        <w:t>If you have questions about the Innovate Alabama</w:t>
      </w:r>
      <w:r w:rsidR="0005140C">
        <w:t xml:space="preserve"> </w:t>
      </w:r>
      <w:r w:rsidR="00F56CE3">
        <w:t>Network</w:t>
      </w:r>
      <w:r>
        <w:t xml:space="preserve">, please email at </w:t>
      </w:r>
      <w:r w:rsidR="00347D99">
        <w:t>partners</w:t>
      </w:r>
      <w:r>
        <w:t xml:space="preserve">@innovatealabama.org or visit Innovate Alabama’s website at </w:t>
      </w:r>
      <w:hyperlink r:id="rId12" w:history="1">
        <w:r w:rsidR="0076247E" w:rsidRPr="000A1613">
          <w:rPr>
            <w:rStyle w:val="Hyperlink"/>
          </w:rPr>
          <w:t>www.innovatealabama.org</w:t>
        </w:r>
      </w:hyperlink>
      <w:r>
        <w:t>.</w:t>
      </w:r>
      <w:r w:rsidR="0076247E">
        <w:t xml:space="preserve"> </w:t>
      </w:r>
    </w:p>
    <w:p w14:paraId="083E0922" w14:textId="614FC682" w:rsidR="00AD52BD" w:rsidRPr="006F105B" w:rsidRDefault="00AD52BD" w:rsidP="00AD52BD">
      <w:pPr>
        <w:pStyle w:val="Style1"/>
        <w:spacing w:before="160"/>
        <w:contextualSpacing w:val="0"/>
        <w:rPr>
          <w:b/>
          <w:bCs/>
        </w:rPr>
      </w:pPr>
      <w:r>
        <w:rPr>
          <w:b/>
          <w:bCs/>
        </w:rPr>
        <w:t>Scoring Rubric</w:t>
      </w:r>
    </w:p>
    <w:p w14:paraId="7FDEB79D" w14:textId="01A5E3DF" w:rsidR="00D15FEE" w:rsidRDefault="00F56CE3" w:rsidP="0076247E">
      <w:pPr>
        <w:pStyle w:val="Style1"/>
        <w:numPr>
          <w:ilvl w:val="1"/>
          <w:numId w:val="2"/>
        </w:numPr>
      </w:pPr>
      <w:r>
        <w:t>Applicants</w:t>
      </w:r>
      <w:r w:rsidR="00AD52BD">
        <w:t xml:space="preserve"> will be scored using the following rubric. </w:t>
      </w:r>
      <w:r w:rsidR="005774F3">
        <w:t>Applications can earn up to 16 points.</w:t>
      </w:r>
    </w:p>
    <w:p w14:paraId="5B4BE2C5" w14:textId="38741761" w:rsidR="00214EE2" w:rsidRPr="00451069" w:rsidRDefault="00D15FEE" w:rsidP="00451069">
      <w:pPr>
        <w:rPr>
          <w:rFonts w:ascii="Open Sans" w:hAnsi="Open Sans" w:cs="Open Sans"/>
        </w:rPr>
        <w:sectPr w:rsidR="00214EE2" w:rsidRPr="00451069">
          <w:headerReference w:type="default" r:id="rId13"/>
          <w:pgSz w:w="12240" w:h="15840"/>
          <w:pgMar w:top="1440" w:right="1440" w:bottom="1440" w:left="1440" w:header="720" w:footer="720" w:gutter="0"/>
          <w:cols w:space="720"/>
          <w:docGrid w:linePitch="360"/>
        </w:sectPr>
      </w:pPr>
      <w:r>
        <w:br w:type="page"/>
      </w:r>
    </w:p>
    <w:tbl>
      <w:tblPr>
        <w:tblStyle w:val="PlainTable3"/>
        <w:tblpPr w:leftFromText="180" w:rightFromText="180" w:vertAnchor="text" w:horzAnchor="margin" w:tblpXSpec="center" w:tblpY="-242"/>
        <w:tblW w:w="0" w:type="auto"/>
        <w:tblLayout w:type="fixed"/>
        <w:tblCellMar>
          <w:top w:w="115" w:type="dxa"/>
          <w:bottom w:w="115" w:type="dxa"/>
        </w:tblCellMar>
        <w:tblLook w:val="04A0" w:firstRow="1" w:lastRow="0" w:firstColumn="1" w:lastColumn="0" w:noHBand="0" w:noVBand="1"/>
      </w:tblPr>
      <w:tblGrid>
        <w:gridCol w:w="1260"/>
        <w:gridCol w:w="1969"/>
        <w:gridCol w:w="1970"/>
        <w:gridCol w:w="1969"/>
        <w:gridCol w:w="1970"/>
        <w:gridCol w:w="2292"/>
        <w:gridCol w:w="1217"/>
      </w:tblGrid>
      <w:tr w:rsidR="00966CE9" w:rsidRPr="00465EA8" w14:paraId="1524D846" w14:textId="77777777" w:rsidTr="00E333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0" w:type="dxa"/>
            <w:vAlign w:val="center"/>
          </w:tcPr>
          <w:p w14:paraId="7E6ED4A9" w14:textId="77777777" w:rsidR="00966CE9" w:rsidRPr="00754EC3" w:rsidRDefault="00966CE9" w:rsidP="00966CE9">
            <w:pPr>
              <w:jc w:val="center"/>
              <w:rPr>
                <w:rFonts w:ascii="Open Sans" w:hAnsi="Open Sans" w:cs="Open Sans"/>
                <w:sz w:val="16"/>
                <w:szCs w:val="16"/>
              </w:rPr>
            </w:pPr>
            <w:r w:rsidRPr="00754EC3">
              <w:rPr>
                <w:rFonts w:ascii="Open Sans" w:hAnsi="Open Sans" w:cs="Open Sans"/>
                <w:sz w:val="16"/>
                <w:szCs w:val="16"/>
              </w:rPr>
              <w:lastRenderedPageBreak/>
              <w:t>Focus Areas</w:t>
            </w:r>
          </w:p>
        </w:tc>
        <w:tc>
          <w:tcPr>
            <w:tcW w:w="10170" w:type="dxa"/>
            <w:gridSpan w:val="5"/>
            <w:vAlign w:val="center"/>
          </w:tcPr>
          <w:p w14:paraId="7CE14396" w14:textId="3F1A315A" w:rsidR="00966CE9" w:rsidRPr="00754EC3" w:rsidRDefault="00966CE9" w:rsidP="00966CE9">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16"/>
                <w:szCs w:val="16"/>
              </w:rPr>
            </w:pPr>
            <w:r w:rsidRPr="00754EC3">
              <w:rPr>
                <w:rFonts w:ascii="Open Sans" w:hAnsi="Open Sans" w:cs="Open Sans"/>
                <w:sz w:val="16"/>
                <w:szCs w:val="16"/>
              </w:rPr>
              <w:t>Criteria</w:t>
            </w:r>
            <w:r w:rsidR="00754EC3" w:rsidRPr="00754EC3">
              <w:rPr>
                <w:rFonts w:ascii="Open Sans" w:hAnsi="Open Sans" w:cs="Open Sans"/>
                <w:sz w:val="16"/>
                <w:szCs w:val="16"/>
              </w:rPr>
              <w:t xml:space="preserve"> (Worth 1 point Each)</w:t>
            </w:r>
          </w:p>
        </w:tc>
        <w:tc>
          <w:tcPr>
            <w:tcW w:w="1217" w:type="dxa"/>
            <w:vAlign w:val="center"/>
          </w:tcPr>
          <w:p w14:paraId="68EADCC8" w14:textId="77777777" w:rsidR="00966CE9" w:rsidRPr="00754EC3" w:rsidRDefault="00966CE9" w:rsidP="00E3332E">
            <w:pPr>
              <w:ind w:right="-28"/>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16"/>
                <w:szCs w:val="16"/>
              </w:rPr>
            </w:pPr>
            <w:r w:rsidRPr="00754EC3">
              <w:rPr>
                <w:rFonts w:ascii="Open Sans" w:hAnsi="Open Sans" w:cs="Open Sans"/>
                <w:sz w:val="16"/>
                <w:szCs w:val="16"/>
              </w:rPr>
              <w:t>Focus Area Score</w:t>
            </w:r>
          </w:p>
        </w:tc>
      </w:tr>
      <w:tr w:rsidR="00966CE9" w:rsidRPr="00465EA8" w14:paraId="12E0649F" w14:textId="77777777" w:rsidTr="00E33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4189B352" w14:textId="595F9330" w:rsidR="00966CE9" w:rsidRPr="00754EC3" w:rsidRDefault="001B0A11" w:rsidP="00966CE9">
            <w:pPr>
              <w:jc w:val="center"/>
              <w:rPr>
                <w:rFonts w:ascii="Open Sans" w:hAnsi="Open Sans" w:cs="Open Sans"/>
                <w:sz w:val="16"/>
                <w:szCs w:val="16"/>
              </w:rPr>
            </w:pPr>
            <w:r>
              <w:rPr>
                <w:rFonts w:ascii="Open Sans" w:hAnsi="Open Sans" w:cs="Open Sans"/>
                <w:sz w:val="16"/>
                <w:szCs w:val="16"/>
              </w:rPr>
              <w:t>Resource</w:t>
            </w:r>
          </w:p>
        </w:tc>
        <w:tc>
          <w:tcPr>
            <w:tcW w:w="1969" w:type="dxa"/>
            <w:vAlign w:val="center"/>
          </w:tcPr>
          <w:p w14:paraId="5AB12BFA" w14:textId="77777777" w:rsidR="00966CE9" w:rsidRPr="00754EC3" w:rsidRDefault="00966CE9" w:rsidP="00966CE9">
            <w:pPr>
              <w:cnfStyle w:val="000000100000" w:firstRow="0" w:lastRow="0" w:firstColumn="0" w:lastColumn="0" w:oddVBand="0" w:evenVBand="0" w:oddHBand="1" w:evenHBand="0" w:firstRowFirstColumn="0" w:firstRowLastColumn="0" w:lastRowFirstColumn="0" w:lastRowLastColumn="0"/>
              <w:rPr>
                <w:rFonts w:ascii="Open Sans" w:hAnsi="Open Sans" w:cs="Open Sans"/>
                <w:sz w:val="16"/>
                <w:szCs w:val="16"/>
              </w:rPr>
            </w:pPr>
            <w:r w:rsidRPr="00754EC3">
              <w:rPr>
                <w:rFonts w:ascii="Open Sans" w:hAnsi="Open Sans" w:cs="Open Sans"/>
                <w:sz w:val="16"/>
                <w:szCs w:val="16"/>
              </w:rPr>
              <w:t>Understands and promotes or participates in Innovate Alabama’s resources programming.</w:t>
            </w:r>
          </w:p>
        </w:tc>
        <w:tc>
          <w:tcPr>
            <w:tcW w:w="1970" w:type="dxa"/>
            <w:vAlign w:val="center"/>
          </w:tcPr>
          <w:p w14:paraId="59F0F1D5" w14:textId="77777777" w:rsidR="00966CE9" w:rsidRPr="00754EC3" w:rsidRDefault="00966CE9" w:rsidP="00966CE9">
            <w:pPr>
              <w:cnfStyle w:val="000000100000" w:firstRow="0" w:lastRow="0" w:firstColumn="0" w:lastColumn="0" w:oddVBand="0" w:evenVBand="0" w:oddHBand="1" w:evenHBand="0" w:firstRowFirstColumn="0" w:firstRowLastColumn="0" w:lastRowFirstColumn="0" w:lastRowLastColumn="0"/>
              <w:rPr>
                <w:rFonts w:ascii="Open Sans" w:hAnsi="Open Sans" w:cs="Open Sans"/>
                <w:sz w:val="16"/>
                <w:szCs w:val="16"/>
              </w:rPr>
            </w:pPr>
            <w:r w:rsidRPr="00754EC3">
              <w:rPr>
                <w:rFonts w:ascii="Open Sans" w:hAnsi="Open Sans" w:cs="Open Sans"/>
                <w:sz w:val="16"/>
                <w:szCs w:val="16"/>
              </w:rPr>
              <w:t>Connects entrepreneurs to sources of funding or innovation ecosystem assets/ programming.</w:t>
            </w:r>
          </w:p>
        </w:tc>
        <w:tc>
          <w:tcPr>
            <w:tcW w:w="1969" w:type="dxa"/>
            <w:vAlign w:val="center"/>
          </w:tcPr>
          <w:p w14:paraId="0B7A5452" w14:textId="77777777" w:rsidR="00966CE9" w:rsidRPr="00754EC3" w:rsidRDefault="00966CE9" w:rsidP="00966CE9">
            <w:pPr>
              <w:cnfStyle w:val="000000100000" w:firstRow="0" w:lastRow="0" w:firstColumn="0" w:lastColumn="0" w:oddVBand="0" w:evenVBand="0" w:oddHBand="1" w:evenHBand="0" w:firstRowFirstColumn="0" w:firstRowLastColumn="0" w:lastRowFirstColumn="0" w:lastRowLastColumn="0"/>
              <w:rPr>
                <w:rFonts w:ascii="Open Sans" w:hAnsi="Open Sans" w:cs="Open Sans"/>
                <w:sz w:val="16"/>
                <w:szCs w:val="16"/>
              </w:rPr>
            </w:pPr>
            <w:r w:rsidRPr="00754EC3">
              <w:rPr>
                <w:rFonts w:ascii="Open Sans" w:hAnsi="Open Sans" w:cs="Open Sans"/>
                <w:sz w:val="16"/>
                <w:szCs w:val="16"/>
              </w:rPr>
              <w:t>Actively grants resources, funding, or programming opportunities to people interested in entrepreneurs.</w:t>
            </w:r>
          </w:p>
        </w:tc>
        <w:tc>
          <w:tcPr>
            <w:tcW w:w="1970" w:type="dxa"/>
            <w:vAlign w:val="center"/>
          </w:tcPr>
          <w:p w14:paraId="6F017C64" w14:textId="77777777" w:rsidR="00966CE9" w:rsidRPr="00754EC3" w:rsidRDefault="00966CE9" w:rsidP="00966CE9">
            <w:pPr>
              <w:cnfStyle w:val="000000100000" w:firstRow="0" w:lastRow="0" w:firstColumn="0" w:lastColumn="0" w:oddVBand="0" w:evenVBand="0" w:oddHBand="1" w:evenHBand="0" w:firstRowFirstColumn="0" w:firstRowLastColumn="0" w:lastRowFirstColumn="0" w:lastRowLastColumn="0"/>
              <w:rPr>
                <w:rFonts w:ascii="Open Sans" w:hAnsi="Open Sans" w:cs="Open Sans"/>
                <w:sz w:val="16"/>
                <w:szCs w:val="16"/>
              </w:rPr>
            </w:pPr>
            <w:r w:rsidRPr="00754EC3">
              <w:rPr>
                <w:rFonts w:ascii="Open Sans" w:hAnsi="Open Sans" w:cs="Open Sans"/>
                <w:sz w:val="16"/>
                <w:szCs w:val="16"/>
              </w:rPr>
              <w:t>Organization has a specific focus on serving MWBE, youth, or other marginalized communities</w:t>
            </w:r>
          </w:p>
        </w:tc>
        <w:tc>
          <w:tcPr>
            <w:tcW w:w="2292" w:type="dxa"/>
            <w:vAlign w:val="center"/>
          </w:tcPr>
          <w:p w14:paraId="270E07C8" w14:textId="77777777" w:rsidR="00966CE9" w:rsidRPr="00754EC3" w:rsidRDefault="00966CE9" w:rsidP="00966CE9">
            <w:pPr>
              <w:cnfStyle w:val="000000100000" w:firstRow="0" w:lastRow="0" w:firstColumn="0" w:lastColumn="0" w:oddVBand="0" w:evenVBand="0" w:oddHBand="1" w:evenHBand="0" w:firstRowFirstColumn="0" w:firstRowLastColumn="0" w:lastRowFirstColumn="0" w:lastRowLastColumn="0"/>
              <w:rPr>
                <w:rFonts w:ascii="Open Sans" w:hAnsi="Open Sans" w:cs="Open Sans"/>
                <w:sz w:val="16"/>
                <w:szCs w:val="16"/>
              </w:rPr>
            </w:pPr>
            <w:r w:rsidRPr="00754EC3">
              <w:rPr>
                <w:rFonts w:ascii="Open Sans" w:hAnsi="Open Sans" w:cs="Open Sans"/>
                <w:sz w:val="16"/>
                <w:szCs w:val="16"/>
              </w:rPr>
              <w:t>Actively participates and engages in a regional network or collaboration which aims to connect entrepreneurs with resources.</w:t>
            </w:r>
          </w:p>
        </w:tc>
        <w:tc>
          <w:tcPr>
            <w:tcW w:w="1217" w:type="dxa"/>
            <w:vAlign w:val="center"/>
          </w:tcPr>
          <w:p w14:paraId="604D5C72" w14:textId="4592EF0D" w:rsidR="00966CE9" w:rsidRPr="00AD4451" w:rsidRDefault="00AD4451" w:rsidP="00E3332E">
            <w:pPr>
              <w:ind w:left="170" w:right="-28"/>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AD4451">
              <w:rPr>
                <w:rFonts w:ascii="Open Sans" w:hAnsi="Open Sans" w:cs="Open Sans"/>
              </w:rPr>
              <w:t>/ 5 points</w:t>
            </w:r>
          </w:p>
        </w:tc>
      </w:tr>
      <w:tr w:rsidR="00AD4451" w:rsidRPr="00465EA8" w14:paraId="1EBBEC46" w14:textId="77777777" w:rsidTr="00E3332E">
        <w:tc>
          <w:tcPr>
            <w:cnfStyle w:val="001000000000" w:firstRow="0" w:lastRow="0" w:firstColumn="1" w:lastColumn="0" w:oddVBand="0" w:evenVBand="0" w:oddHBand="0" w:evenHBand="0" w:firstRowFirstColumn="0" w:firstRowLastColumn="0" w:lastRowFirstColumn="0" w:lastRowLastColumn="0"/>
            <w:tcW w:w="1260" w:type="dxa"/>
            <w:vAlign w:val="center"/>
          </w:tcPr>
          <w:p w14:paraId="4580EE1F" w14:textId="77777777" w:rsidR="00AD4451" w:rsidRPr="00754EC3" w:rsidRDefault="00AD4451" w:rsidP="00AD4451">
            <w:pPr>
              <w:jc w:val="center"/>
              <w:rPr>
                <w:rFonts w:ascii="Open Sans" w:hAnsi="Open Sans" w:cs="Open Sans"/>
                <w:sz w:val="16"/>
                <w:szCs w:val="16"/>
              </w:rPr>
            </w:pPr>
            <w:r w:rsidRPr="00754EC3">
              <w:rPr>
                <w:rFonts w:ascii="Open Sans" w:hAnsi="Open Sans" w:cs="Open Sans"/>
                <w:sz w:val="16"/>
                <w:szCs w:val="16"/>
              </w:rPr>
              <w:t>People</w:t>
            </w:r>
          </w:p>
        </w:tc>
        <w:tc>
          <w:tcPr>
            <w:tcW w:w="1969" w:type="dxa"/>
            <w:vAlign w:val="center"/>
          </w:tcPr>
          <w:p w14:paraId="7E3BE43D" w14:textId="77777777" w:rsidR="00AD4451" w:rsidRPr="00754EC3" w:rsidRDefault="00AD4451" w:rsidP="00AD4451">
            <w:pPr>
              <w:cnfStyle w:val="000000000000" w:firstRow="0" w:lastRow="0" w:firstColumn="0" w:lastColumn="0" w:oddVBand="0" w:evenVBand="0" w:oddHBand="0" w:evenHBand="0" w:firstRowFirstColumn="0" w:firstRowLastColumn="0" w:lastRowFirstColumn="0" w:lastRowLastColumn="0"/>
              <w:rPr>
                <w:rFonts w:ascii="Open Sans" w:hAnsi="Open Sans" w:cs="Open Sans"/>
                <w:sz w:val="16"/>
                <w:szCs w:val="16"/>
              </w:rPr>
            </w:pPr>
            <w:r w:rsidRPr="00754EC3">
              <w:rPr>
                <w:rFonts w:ascii="Open Sans" w:hAnsi="Open Sans" w:cs="Open Sans"/>
                <w:sz w:val="16"/>
                <w:szCs w:val="16"/>
              </w:rPr>
              <w:t>Engages, or seeks to engage, with Innovate Alabama’s target audiences.</w:t>
            </w:r>
            <w:r w:rsidRPr="00754EC3">
              <w:rPr>
                <w:rStyle w:val="FootnoteReference"/>
                <w:rFonts w:ascii="Open Sans" w:hAnsi="Open Sans" w:cs="Open Sans"/>
                <w:sz w:val="16"/>
                <w:szCs w:val="16"/>
              </w:rPr>
              <w:footnoteReference w:id="3"/>
            </w:r>
          </w:p>
        </w:tc>
        <w:tc>
          <w:tcPr>
            <w:tcW w:w="1970" w:type="dxa"/>
            <w:vAlign w:val="center"/>
          </w:tcPr>
          <w:p w14:paraId="5AAFF537" w14:textId="77777777" w:rsidR="00AD4451" w:rsidRPr="00754EC3" w:rsidRDefault="00AD4451" w:rsidP="00AD4451">
            <w:pPr>
              <w:cnfStyle w:val="000000000000" w:firstRow="0" w:lastRow="0" w:firstColumn="0" w:lastColumn="0" w:oddVBand="0" w:evenVBand="0" w:oddHBand="0" w:evenHBand="0" w:firstRowFirstColumn="0" w:firstRowLastColumn="0" w:lastRowFirstColumn="0" w:lastRowLastColumn="0"/>
              <w:rPr>
                <w:rFonts w:ascii="Open Sans" w:hAnsi="Open Sans" w:cs="Open Sans"/>
                <w:sz w:val="16"/>
                <w:szCs w:val="16"/>
              </w:rPr>
            </w:pPr>
            <w:r w:rsidRPr="00754EC3">
              <w:rPr>
                <w:rFonts w:ascii="Open Sans" w:hAnsi="Open Sans" w:cs="Open Sans"/>
                <w:sz w:val="16"/>
                <w:szCs w:val="16"/>
              </w:rPr>
              <w:t>Supports programs and partnerships aimed at introducing target audiences to innovation assets, topics, and opportunities.</w:t>
            </w:r>
          </w:p>
        </w:tc>
        <w:tc>
          <w:tcPr>
            <w:tcW w:w="1969" w:type="dxa"/>
            <w:vAlign w:val="center"/>
          </w:tcPr>
          <w:p w14:paraId="2B5F1EF7" w14:textId="77777777" w:rsidR="00AD4451" w:rsidRPr="00754EC3" w:rsidRDefault="00AD4451" w:rsidP="00AD4451">
            <w:pPr>
              <w:cnfStyle w:val="000000000000" w:firstRow="0" w:lastRow="0" w:firstColumn="0" w:lastColumn="0" w:oddVBand="0" w:evenVBand="0" w:oddHBand="0" w:evenHBand="0" w:firstRowFirstColumn="0" w:firstRowLastColumn="0" w:lastRowFirstColumn="0" w:lastRowLastColumn="0"/>
              <w:rPr>
                <w:rFonts w:ascii="Open Sans" w:hAnsi="Open Sans" w:cs="Open Sans"/>
                <w:sz w:val="16"/>
                <w:szCs w:val="16"/>
              </w:rPr>
            </w:pPr>
            <w:r w:rsidRPr="00754EC3">
              <w:rPr>
                <w:rFonts w:ascii="Open Sans" w:hAnsi="Open Sans" w:cs="Open Sans"/>
                <w:sz w:val="16"/>
                <w:szCs w:val="16"/>
              </w:rPr>
              <w:t>Manages and/or supports recurring, cohort-based programs to support start-up incubation, on-the-job training, and/or educational experiences.</w:t>
            </w:r>
          </w:p>
        </w:tc>
        <w:tc>
          <w:tcPr>
            <w:tcW w:w="1970" w:type="dxa"/>
            <w:vAlign w:val="center"/>
          </w:tcPr>
          <w:p w14:paraId="7B33B75A" w14:textId="77777777" w:rsidR="00AD4451" w:rsidRPr="00754EC3" w:rsidRDefault="00AD4451" w:rsidP="00AD4451">
            <w:pPr>
              <w:cnfStyle w:val="000000000000" w:firstRow="0" w:lastRow="0" w:firstColumn="0" w:lastColumn="0" w:oddVBand="0" w:evenVBand="0" w:oddHBand="0" w:evenHBand="0" w:firstRowFirstColumn="0" w:firstRowLastColumn="0" w:lastRowFirstColumn="0" w:lastRowLastColumn="0"/>
              <w:rPr>
                <w:rFonts w:ascii="Open Sans" w:hAnsi="Open Sans" w:cs="Open Sans"/>
                <w:sz w:val="16"/>
                <w:szCs w:val="16"/>
              </w:rPr>
            </w:pPr>
            <w:r w:rsidRPr="00754EC3">
              <w:rPr>
                <w:rFonts w:ascii="Open Sans" w:hAnsi="Open Sans" w:cs="Open Sans"/>
                <w:sz w:val="16"/>
                <w:szCs w:val="16"/>
              </w:rPr>
              <w:t>Manages and/or supports innovation programs directly focused on HBCU Engagement and Rural Retention.</w:t>
            </w:r>
          </w:p>
        </w:tc>
        <w:tc>
          <w:tcPr>
            <w:tcW w:w="2292" w:type="dxa"/>
            <w:vAlign w:val="center"/>
          </w:tcPr>
          <w:p w14:paraId="0A0DFECB" w14:textId="77777777" w:rsidR="00AD4451" w:rsidRPr="00754EC3" w:rsidRDefault="00AD4451" w:rsidP="00AD4451">
            <w:pPr>
              <w:cnfStyle w:val="000000000000" w:firstRow="0" w:lastRow="0" w:firstColumn="0" w:lastColumn="0" w:oddVBand="0" w:evenVBand="0" w:oddHBand="0" w:evenHBand="0" w:firstRowFirstColumn="0" w:firstRowLastColumn="0" w:lastRowFirstColumn="0" w:lastRowLastColumn="0"/>
              <w:rPr>
                <w:rFonts w:ascii="Open Sans" w:hAnsi="Open Sans" w:cs="Open Sans"/>
                <w:sz w:val="16"/>
                <w:szCs w:val="16"/>
              </w:rPr>
            </w:pPr>
            <w:r w:rsidRPr="00754EC3">
              <w:rPr>
                <w:rFonts w:ascii="Open Sans" w:hAnsi="Open Sans" w:cs="Open Sans"/>
                <w:sz w:val="16"/>
                <w:szCs w:val="16"/>
              </w:rPr>
              <w:t>Develops implementation plans that, building off existing programs and outcomes, will lead to measurable expansion to new geographies and demographics.</w:t>
            </w:r>
          </w:p>
        </w:tc>
        <w:tc>
          <w:tcPr>
            <w:tcW w:w="1217" w:type="dxa"/>
            <w:vAlign w:val="center"/>
          </w:tcPr>
          <w:p w14:paraId="55F47867" w14:textId="7DF8237F" w:rsidR="00AD4451" w:rsidRPr="00AD4451" w:rsidRDefault="00AD4451" w:rsidP="00E3332E">
            <w:pPr>
              <w:ind w:left="170" w:right="-28"/>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AD4451">
              <w:rPr>
                <w:rFonts w:ascii="Open Sans" w:hAnsi="Open Sans" w:cs="Open Sans"/>
              </w:rPr>
              <w:t>/ 5 points</w:t>
            </w:r>
          </w:p>
        </w:tc>
      </w:tr>
      <w:tr w:rsidR="00AD4451" w:rsidRPr="00465EA8" w14:paraId="138D1337" w14:textId="77777777" w:rsidTr="00E33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2A63FFA4" w14:textId="6D2B66B2" w:rsidR="00AD4451" w:rsidRPr="00754EC3" w:rsidRDefault="00AD4451" w:rsidP="00AD4451">
            <w:pPr>
              <w:jc w:val="center"/>
              <w:rPr>
                <w:rFonts w:ascii="Open Sans" w:hAnsi="Open Sans" w:cs="Open Sans"/>
                <w:sz w:val="16"/>
                <w:szCs w:val="16"/>
              </w:rPr>
            </w:pPr>
            <w:r w:rsidRPr="00754EC3">
              <w:rPr>
                <w:rFonts w:ascii="Open Sans" w:hAnsi="Open Sans" w:cs="Open Sans"/>
                <w:sz w:val="16"/>
                <w:szCs w:val="16"/>
              </w:rPr>
              <w:t>Place</w:t>
            </w:r>
          </w:p>
        </w:tc>
        <w:tc>
          <w:tcPr>
            <w:tcW w:w="1969" w:type="dxa"/>
            <w:vAlign w:val="center"/>
          </w:tcPr>
          <w:p w14:paraId="5952F19F" w14:textId="77777777" w:rsidR="00AD4451" w:rsidRPr="00754EC3" w:rsidRDefault="00AD4451" w:rsidP="00AD4451">
            <w:pPr>
              <w:cnfStyle w:val="000000100000" w:firstRow="0" w:lastRow="0" w:firstColumn="0" w:lastColumn="0" w:oddVBand="0" w:evenVBand="0" w:oddHBand="1" w:evenHBand="0" w:firstRowFirstColumn="0" w:firstRowLastColumn="0" w:lastRowFirstColumn="0" w:lastRowLastColumn="0"/>
              <w:rPr>
                <w:rFonts w:ascii="Open Sans" w:hAnsi="Open Sans" w:cs="Open Sans"/>
                <w:sz w:val="16"/>
                <w:szCs w:val="16"/>
              </w:rPr>
            </w:pPr>
            <w:r w:rsidRPr="00754EC3">
              <w:rPr>
                <w:rFonts w:ascii="Open Sans" w:hAnsi="Open Sans" w:cs="Open Sans"/>
                <w:sz w:val="16"/>
                <w:szCs w:val="16"/>
              </w:rPr>
              <w:t>Ties mission directly to needs and success of a specified community.</w:t>
            </w:r>
          </w:p>
        </w:tc>
        <w:tc>
          <w:tcPr>
            <w:tcW w:w="1970" w:type="dxa"/>
            <w:vAlign w:val="center"/>
          </w:tcPr>
          <w:p w14:paraId="5E0C3FB2" w14:textId="77777777" w:rsidR="00AD4451" w:rsidRPr="00754EC3" w:rsidRDefault="00AD4451" w:rsidP="00AD4451">
            <w:pPr>
              <w:cnfStyle w:val="000000100000" w:firstRow="0" w:lastRow="0" w:firstColumn="0" w:lastColumn="0" w:oddVBand="0" w:evenVBand="0" w:oddHBand="1" w:evenHBand="0" w:firstRowFirstColumn="0" w:firstRowLastColumn="0" w:lastRowFirstColumn="0" w:lastRowLastColumn="0"/>
              <w:rPr>
                <w:rFonts w:ascii="Open Sans" w:hAnsi="Open Sans" w:cs="Open Sans"/>
                <w:sz w:val="16"/>
                <w:szCs w:val="16"/>
              </w:rPr>
            </w:pPr>
            <w:r w:rsidRPr="00754EC3">
              <w:rPr>
                <w:rFonts w:ascii="Open Sans" w:hAnsi="Open Sans" w:cs="Open Sans"/>
                <w:sz w:val="16"/>
                <w:szCs w:val="16"/>
              </w:rPr>
              <w:t>Attends statewide events that tie the innovation economy into quality-of-life offerings.</w:t>
            </w:r>
          </w:p>
        </w:tc>
        <w:tc>
          <w:tcPr>
            <w:tcW w:w="1969" w:type="dxa"/>
            <w:vAlign w:val="center"/>
          </w:tcPr>
          <w:p w14:paraId="16F46ED3" w14:textId="5D796C46" w:rsidR="00AD4451" w:rsidRPr="00754EC3" w:rsidRDefault="00230FB8" w:rsidP="00AD4451">
            <w:pPr>
              <w:cnfStyle w:val="000000100000" w:firstRow="0" w:lastRow="0" w:firstColumn="0" w:lastColumn="0" w:oddVBand="0" w:evenVBand="0" w:oddHBand="1" w:evenHBand="0" w:firstRowFirstColumn="0" w:firstRowLastColumn="0" w:lastRowFirstColumn="0" w:lastRowLastColumn="0"/>
              <w:rPr>
                <w:rFonts w:ascii="Open Sans" w:hAnsi="Open Sans" w:cs="Open Sans"/>
                <w:sz w:val="16"/>
                <w:szCs w:val="16"/>
              </w:rPr>
            </w:pPr>
            <w:r w:rsidRPr="00230FB8">
              <w:rPr>
                <w:rFonts w:ascii="Open Sans" w:hAnsi="Open Sans" w:cs="Open Sans"/>
                <w:sz w:val="16"/>
                <w:szCs w:val="16"/>
              </w:rPr>
              <w:t>Actively engages in local programming to promote the quality of life in their focus community.</w:t>
            </w:r>
          </w:p>
        </w:tc>
        <w:tc>
          <w:tcPr>
            <w:tcW w:w="1970" w:type="dxa"/>
            <w:vAlign w:val="center"/>
          </w:tcPr>
          <w:p w14:paraId="3A4C625B" w14:textId="7CCED5D9" w:rsidR="00AD4451" w:rsidRPr="00754EC3" w:rsidRDefault="00E3332E" w:rsidP="00AD4451">
            <w:pPr>
              <w:cnfStyle w:val="000000100000" w:firstRow="0" w:lastRow="0" w:firstColumn="0" w:lastColumn="0" w:oddVBand="0" w:evenVBand="0" w:oddHBand="1" w:evenHBand="0" w:firstRowFirstColumn="0" w:firstRowLastColumn="0" w:lastRowFirstColumn="0" w:lastRowLastColumn="0"/>
              <w:rPr>
                <w:rFonts w:ascii="Open Sans" w:hAnsi="Open Sans" w:cs="Open Sans"/>
                <w:sz w:val="16"/>
                <w:szCs w:val="16"/>
              </w:rPr>
            </w:pPr>
            <w:r w:rsidRPr="00E3332E">
              <w:rPr>
                <w:rFonts w:ascii="Open Sans" w:hAnsi="Open Sans" w:cs="Open Sans"/>
                <w:sz w:val="16"/>
                <w:szCs w:val="16"/>
              </w:rPr>
              <w:t>Hosts and/or sponsors quality of life-enriching programs in their focus community that tie to economic and community development priorities.</w:t>
            </w:r>
          </w:p>
        </w:tc>
        <w:tc>
          <w:tcPr>
            <w:tcW w:w="2292" w:type="dxa"/>
            <w:vAlign w:val="center"/>
          </w:tcPr>
          <w:p w14:paraId="1F65FE66" w14:textId="1827F2EA" w:rsidR="00AD4451" w:rsidRPr="00754EC3" w:rsidRDefault="00E3332E" w:rsidP="00AD4451">
            <w:pPr>
              <w:cnfStyle w:val="000000100000" w:firstRow="0" w:lastRow="0" w:firstColumn="0" w:lastColumn="0" w:oddVBand="0" w:evenVBand="0" w:oddHBand="1" w:evenHBand="0" w:firstRowFirstColumn="0" w:firstRowLastColumn="0" w:lastRowFirstColumn="0" w:lastRowLastColumn="0"/>
              <w:rPr>
                <w:rFonts w:ascii="Open Sans" w:hAnsi="Open Sans" w:cs="Open Sans"/>
                <w:sz w:val="16"/>
                <w:szCs w:val="16"/>
              </w:rPr>
            </w:pPr>
            <w:r w:rsidRPr="00E3332E">
              <w:rPr>
                <w:rFonts w:ascii="Open Sans" w:hAnsi="Open Sans" w:cs="Open Sans"/>
                <w:sz w:val="16"/>
                <w:szCs w:val="16"/>
              </w:rPr>
              <w:t>Actively represents Alabama at national and/or international events, helping refine and share the “Why Alabama?” story to employers, highly-skilled innovation professionals, prospective students, and media outlets.</w:t>
            </w:r>
          </w:p>
        </w:tc>
        <w:tc>
          <w:tcPr>
            <w:tcW w:w="1217" w:type="dxa"/>
            <w:vAlign w:val="center"/>
          </w:tcPr>
          <w:p w14:paraId="26DD5185" w14:textId="6C5C899F" w:rsidR="00AD4451" w:rsidRPr="00AD4451" w:rsidRDefault="00AD4451" w:rsidP="00E3332E">
            <w:pPr>
              <w:ind w:left="170" w:right="-28"/>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AD4451">
              <w:rPr>
                <w:rFonts w:ascii="Open Sans" w:hAnsi="Open Sans" w:cs="Open Sans"/>
              </w:rPr>
              <w:t>/ 5 points</w:t>
            </w:r>
          </w:p>
        </w:tc>
      </w:tr>
      <w:tr w:rsidR="00834E17" w:rsidRPr="00465EA8" w14:paraId="20B4A30A" w14:textId="77777777" w:rsidTr="00E3332E">
        <w:tc>
          <w:tcPr>
            <w:cnfStyle w:val="001000000000" w:firstRow="0" w:lastRow="0" w:firstColumn="1" w:lastColumn="0" w:oddVBand="0" w:evenVBand="0" w:oddHBand="0" w:evenHBand="0" w:firstRowFirstColumn="0" w:firstRowLastColumn="0" w:lastRowFirstColumn="0" w:lastRowLastColumn="0"/>
            <w:tcW w:w="1260" w:type="dxa"/>
            <w:tcBorders>
              <w:bottom w:val="single" w:sz="4" w:space="0" w:color="767171" w:themeColor="background2" w:themeShade="80"/>
            </w:tcBorders>
            <w:vAlign w:val="center"/>
          </w:tcPr>
          <w:p w14:paraId="2058F3BE" w14:textId="371924E3" w:rsidR="00834E17" w:rsidRPr="00754EC3" w:rsidRDefault="00834E17" w:rsidP="00AD4451">
            <w:pPr>
              <w:jc w:val="center"/>
              <w:rPr>
                <w:rFonts w:ascii="Open Sans" w:hAnsi="Open Sans" w:cs="Open Sans"/>
                <w:sz w:val="16"/>
                <w:szCs w:val="16"/>
              </w:rPr>
            </w:pPr>
            <w:r>
              <w:rPr>
                <w:rFonts w:ascii="Open Sans" w:hAnsi="Open Sans" w:cs="Open Sans"/>
                <w:sz w:val="16"/>
                <w:szCs w:val="16"/>
              </w:rPr>
              <w:t>Region</w:t>
            </w:r>
          </w:p>
        </w:tc>
        <w:tc>
          <w:tcPr>
            <w:tcW w:w="10170" w:type="dxa"/>
            <w:gridSpan w:val="5"/>
            <w:tcBorders>
              <w:bottom w:val="single" w:sz="4" w:space="0" w:color="767171" w:themeColor="background2" w:themeShade="80"/>
            </w:tcBorders>
            <w:vAlign w:val="center"/>
          </w:tcPr>
          <w:p w14:paraId="2139CD73" w14:textId="1B903023" w:rsidR="00834E17" w:rsidRPr="00754EC3" w:rsidRDefault="00834E17" w:rsidP="00AD4451">
            <w:pPr>
              <w:cnfStyle w:val="000000000000" w:firstRow="0" w:lastRow="0" w:firstColumn="0" w:lastColumn="0" w:oddVBand="0" w:evenVBand="0" w:oddHBand="0" w:evenHBand="0" w:firstRowFirstColumn="0" w:firstRowLastColumn="0" w:lastRowFirstColumn="0" w:lastRowLastColumn="0"/>
              <w:rPr>
                <w:rFonts w:ascii="Open Sans" w:hAnsi="Open Sans" w:cs="Open Sans"/>
                <w:sz w:val="16"/>
                <w:szCs w:val="16"/>
              </w:rPr>
            </w:pPr>
            <w:r>
              <w:rPr>
                <w:rFonts w:ascii="Open Sans" w:hAnsi="Open Sans" w:cs="Open Sans"/>
                <w:sz w:val="16"/>
                <w:szCs w:val="16"/>
              </w:rPr>
              <w:t xml:space="preserve">Applicants engage with other municipalities in innovation programming or asset development. </w:t>
            </w:r>
          </w:p>
        </w:tc>
        <w:tc>
          <w:tcPr>
            <w:tcW w:w="1217" w:type="dxa"/>
            <w:tcBorders>
              <w:bottom w:val="single" w:sz="4" w:space="0" w:color="767171" w:themeColor="background2" w:themeShade="80"/>
            </w:tcBorders>
            <w:vAlign w:val="center"/>
          </w:tcPr>
          <w:p w14:paraId="418B8686" w14:textId="63DFF681" w:rsidR="00834E17" w:rsidRPr="00AD4451" w:rsidRDefault="00834E17" w:rsidP="00E3332E">
            <w:pPr>
              <w:ind w:left="170" w:right="-28"/>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AD4451">
              <w:rPr>
                <w:rFonts w:ascii="Open Sans" w:hAnsi="Open Sans" w:cs="Open Sans"/>
              </w:rPr>
              <w:t>/ 1 point</w:t>
            </w:r>
          </w:p>
        </w:tc>
      </w:tr>
    </w:tbl>
    <w:p w14:paraId="4385647F" w14:textId="77777777" w:rsidR="00966CE9" w:rsidRPr="00214EE2" w:rsidRDefault="00966CE9" w:rsidP="00214EE2">
      <w:pPr>
        <w:rPr>
          <w:rFonts w:ascii="Open Sans" w:hAnsi="Open Sans" w:cs="Open Sans"/>
          <w:b/>
          <w:bCs/>
          <w:sz w:val="32"/>
          <w:szCs w:val="32"/>
        </w:rPr>
      </w:pPr>
    </w:p>
    <w:tbl>
      <w:tblPr>
        <w:tblStyle w:val="PlainTable1"/>
        <w:tblpPr w:leftFromText="180" w:rightFromText="180" w:vertAnchor="text" w:horzAnchor="margin"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
        <w:gridCol w:w="319"/>
        <w:gridCol w:w="1008"/>
        <w:gridCol w:w="319"/>
        <w:gridCol w:w="1008"/>
        <w:gridCol w:w="319"/>
        <w:gridCol w:w="1008"/>
        <w:gridCol w:w="319"/>
        <w:gridCol w:w="1008"/>
      </w:tblGrid>
      <w:tr w:rsidR="00705024" w14:paraId="1A975DE4" w14:textId="77777777" w:rsidTr="00D91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4" w:type="dxa"/>
            <w:tcBorders>
              <w:bottom w:val="single" w:sz="4" w:space="0" w:color="767171" w:themeColor="background2" w:themeShade="80"/>
            </w:tcBorders>
            <w:vAlign w:val="center"/>
          </w:tcPr>
          <w:p w14:paraId="7A2DE297" w14:textId="5728D9E0" w:rsidR="00705024" w:rsidRPr="005B6115" w:rsidRDefault="00A61B96" w:rsidP="005B6115">
            <w:pPr>
              <w:jc w:val="center"/>
              <w:rPr>
                <w:rFonts w:ascii="Open Sans" w:hAnsi="Open Sans" w:cs="Open Sans"/>
                <w:sz w:val="18"/>
                <w:szCs w:val="18"/>
              </w:rPr>
            </w:pPr>
            <w:r>
              <w:rPr>
                <w:rFonts w:ascii="Open Sans" w:hAnsi="Open Sans" w:cs="Open Sans"/>
                <w:sz w:val="18"/>
                <w:szCs w:val="18"/>
              </w:rPr>
              <w:t>Resource</w:t>
            </w:r>
          </w:p>
        </w:tc>
        <w:tc>
          <w:tcPr>
            <w:tcW w:w="319" w:type="dxa"/>
            <w:tcBorders>
              <w:bottom w:val="single" w:sz="4" w:space="0" w:color="767171" w:themeColor="background2" w:themeShade="80"/>
            </w:tcBorders>
            <w:vAlign w:val="center"/>
          </w:tcPr>
          <w:p w14:paraId="2ECA3B81" w14:textId="77777777" w:rsidR="00705024" w:rsidRPr="005B6115" w:rsidRDefault="00705024" w:rsidP="005B611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008" w:type="dxa"/>
            <w:tcBorders>
              <w:bottom w:val="single" w:sz="4" w:space="0" w:color="767171" w:themeColor="background2" w:themeShade="80"/>
            </w:tcBorders>
            <w:vAlign w:val="center"/>
          </w:tcPr>
          <w:p w14:paraId="4D5AB882" w14:textId="0017DEC7" w:rsidR="00705024" w:rsidRPr="005B6115" w:rsidRDefault="00705024" w:rsidP="005B611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5B6115">
              <w:rPr>
                <w:rFonts w:ascii="Open Sans" w:hAnsi="Open Sans" w:cs="Open Sans"/>
                <w:sz w:val="18"/>
                <w:szCs w:val="18"/>
              </w:rPr>
              <w:t>People</w:t>
            </w:r>
          </w:p>
        </w:tc>
        <w:tc>
          <w:tcPr>
            <w:tcW w:w="319" w:type="dxa"/>
            <w:tcBorders>
              <w:bottom w:val="single" w:sz="4" w:space="0" w:color="767171" w:themeColor="background2" w:themeShade="80"/>
            </w:tcBorders>
            <w:vAlign w:val="center"/>
          </w:tcPr>
          <w:p w14:paraId="7C32F728" w14:textId="77777777" w:rsidR="00705024" w:rsidRPr="005B6115" w:rsidRDefault="00705024" w:rsidP="005B611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008" w:type="dxa"/>
            <w:tcBorders>
              <w:bottom w:val="single" w:sz="4" w:space="0" w:color="767171" w:themeColor="background2" w:themeShade="80"/>
            </w:tcBorders>
            <w:vAlign w:val="center"/>
          </w:tcPr>
          <w:p w14:paraId="2C654498" w14:textId="3A3AC8B7" w:rsidR="00705024" w:rsidRPr="005B6115" w:rsidRDefault="00705024" w:rsidP="005B611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5B6115">
              <w:rPr>
                <w:rFonts w:ascii="Open Sans" w:hAnsi="Open Sans" w:cs="Open Sans"/>
                <w:sz w:val="18"/>
                <w:szCs w:val="18"/>
              </w:rPr>
              <w:t>Place</w:t>
            </w:r>
          </w:p>
        </w:tc>
        <w:tc>
          <w:tcPr>
            <w:tcW w:w="319" w:type="dxa"/>
            <w:tcBorders>
              <w:bottom w:val="single" w:sz="4" w:space="0" w:color="767171" w:themeColor="background2" w:themeShade="80"/>
            </w:tcBorders>
            <w:vAlign w:val="center"/>
          </w:tcPr>
          <w:p w14:paraId="4FEE4748" w14:textId="77777777" w:rsidR="00705024" w:rsidRPr="005B6115" w:rsidRDefault="00705024" w:rsidP="005B611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008" w:type="dxa"/>
            <w:tcBorders>
              <w:bottom w:val="single" w:sz="4" w:space="0" w:color="767171" w:themeColor="background2" w:themeShade="80"/>
            </w:tcBorders>
            <w:vAlign w:val="center"/>
          </w:tcPr>
          <w:p w14:paraId="55DB4F1F" w14:textId="41680E02" w:rsidR="00705024" w:rsidRPr="005B6115" w:rsidRDefault="00705024" w:rsidP="005B611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5B6115">
              <w:rPr>
                <w:rFonts w:ascii="Open Sans" w:hAnsi="Open Sans" w:cs="Open Sans"/>
                <w:sz w:val="18"/>
                <w:szCs w:val="18"/>
              </w:rPr>
              <w:t>Region</w:t>
            </w:r>
          </w:p>
        </w:tc>
        <w:tc>
          <w:tcPr>
            <w:tcW w:w="250" w:type="dxa"/>
            <w:tcBorders>
              <w:bottom w:val="single" w:sz="4" w:space="0" w:color="767171" w:themeColor="background2" w:themeShade="80"/>
            </w:tcBorders>
            <w:vAlign w:val="center"/>
          </w:tcPr>
          <w:p w14:paraId="470B2E6F" w14:textId="77777777" w:rsidR="00705024" w:rsidRPr="005B6115" w:rsidRDefault="00705024" w:rsidP="005B611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008" w:type="dxa"/>
            <w:tcBorders>
              <w:bottom w:val="single" w:sz="4" w:space="0" w:color="767171" w:themeColor="background2" w:themeShade="80"/>
            </w:tcBorders>
            <w:vAlign w:val="center"/>
          </w:tcPr>
          <w:p w14:paraId="44054E3D" w14:textId="1E01D312" w:rsidR="00705024" w:rsidRPr="005B6115" w:rsidRDefault="00705024" w:rsidP="005B611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18"/>
                <w:szCs w:val="18"/>
              </w:rPr>
            </w:pPr>
            <w:r w:rsidRPr="005B6115">
              <w:rPr>
                <w:rFonts w:ascii="Open Sans" w:hAnsi="Open Sans" w:cs="Open Sans"/>
                <w:sz w:val="18"/>
                <w:szCs w:val="18"/>
              </w:rPr>
              <w:t>Total Score</w:t>
            </w:r>
          </w:p>
        </w:tc>
      </w:tr>
      <w:tr w:rsidR="00705024" w14:paraId="09DF38A9" w14:textId="77777777" w:rsidTr="00D91E2F">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767171" w:themeColor="background2" w:themeShade="80"/>
              <w:bottom w:val="single" w:sz="4" w:space="0" w:color="767171" w:themeColor="background2" w:themeShade="80"/>
            </w:tcBorders>
          </w:tcPr>
          <w:p w14:paraId="3BF9C49A" w14:textId="77777777" w:rsidR="00705024" w:rsidRPr="00705024" w:rsidRDefault="00705024" w:rsidP="00705024">
            <w:pPr>
              <w:rPr>
                <w:rFonts w:ascii="Open Sans" w:hAnsi="Open Sans" w:cs="Open Sans"/>
                <w:b w:val="0"/>
                <w:bCs w:val="0"/>
                <w:sz w:val="18"/>
                <w:szCs w:val="18"/>
              </w:rPr>
            </w:pPr>
          </w:p>
        </w:tc>
        <w:tc>
          <w:tcPr>
            <w:tcW w:w="319" w:type="dxa"/>
            <w:tcBorders>
              <w:top w:val="single" w:sz="4" w:space="0" w:color="767171" w:themeColor="background2" w:themeShade="80"/>
              <w:bottom w:val="single" w:sz="4" w:space="0" w:color="767171" w:themeColor="background2" w:themeShade="80"/>
            </w:tcBorders>
            <w:vAlign w:val="center"/>
          </w:tcPr>
          <w:p w14:paraId="541E411E" w14:textId="3BE86900" w:rsidR="00705024" w:rsidRPr="00705024" w:rsidRDefault="00705024" w:rsidP="005B611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w:t>
            </w:r>
          </w:p>
        </w:tc>
        <w:tc>
          <w:tcPr>
            <w:tcW w:w="1008" w:type="dxa"/>
            <w:tcBorders>
              <w:top w:val="single" w:sz="4" w:space="0" w:color="767171" w:themeColor="background2" w:themeShade="80"/>
              <w:bottom w:val="single" w:sz="4" w:space="0" w:color="767171" w:themeColor="background2" w:themeShade="80"/>
            </w:tcBorders>
            <w:vAlign w:val="center"/>
          </w:tcPr>
          <w:p w14:paraId="77F81A70" w14:textId="3855F17E" w:rsidR="00705024" w:rsidRPr="00705024" w:rsidRDefault="00705024" w:rsidP="005B611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19" w:type="dxa"/>
            <w:tcBorders>
              <w:top w:val="single" w:sz="4" w:space="0" w:color="767171" w:themeColor="background2" w:themeShade="80"/>
              <w:bottom w:val="single" w:sz="4" w:space="0" w:color="767171" w:themeColor="background2" w:themeShade="80"/>
            </w:tcBorders>
            <w:vAlign w:val="center"/>
          </w:tcPr>
          <w:p w14:paraId="352F2330" w14:textId="1D5E0B68" w:rsidR="00705024" w:rsidRPr="00705024" w:rsidRDefault="00705024" w:rsidP="005B611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w:t>
            </w:r>
          </w:p>
        </w:tc>
        <w:tc>
          <w:tcPr>
            <w:tcW w:w="1008" w:type="dxa"/>
            <w:tcBorders>
              <w:top w:val="single" w:sz="4" w:space="0" w:color="767171" w:themeColor="background2" w:themeShade="80"/>
              <w:bottom w:val="single" w:sz="4" w:space="0" w:color="767171" w:themeColor="background2" w:themeShade="80"/>
            </w:tcBorders>
            <w:vAlign w:val="center"/>
          </w:tcPr>
          <w:p w14:paraId="041B3A5F" w14:textId="581EEB21" w:rsidR="00705024" w:rsidRPr="00705024" w:rsidRDefault="00705024" w:rsidP="005B611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19" w:type="dxa"/>
            <w:tcBorders>
              <w:top w:val="single" w:sz="4" w:space="0" w:color="767171" w:themeColor="background2" w:themeShade="80"/>
              <w:bottom w:val="single" w:sz="4" w:space="0" w:color="767171" w:themeColor="background2" w:themeShade="80"/>
            </w:tcBorders>
            <w:vAlign w:val="center"/>
          </w:tcPr>
          <w:p w14:paraId="62AA7CD8" w14:textId="6335ADEB" w:rsidR="00705024" w:rsidRPr="00705024" w:rsidRDefault="00705024" w:rsidP="005B611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w:t>
            </w:r>
          </w:p>
        </w:tc>
        <w:tc>
          <w:tcPr>
            <w:tcW w:w="1008" w:type="dxa"/>
            <w:tcBorders>
              <w:top w:val="single" w:sz="4" w:space="0" w:color="767171" w:themeColor="background2" w:themeShade="80"/>
              <w:bottom w:val="single" w:sz="4" w:space="0" w:color="767171" w:themeColor="background2" w:themeShade="80"/>
            </w:tcBorders>
            <w:vAlign w:val="center"/>
          </w:tcPr>
          <w:p w14:paraId="2D8E5D98" w14:textId="14497F6F" w:rsidR="00705024" w:rsidRPr="00705024" w:rsidRDefault="00705024" w:rsidP="005B611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250" w:type="dxa"/>
            <w:tcBorders>
              <w:top w:val="single" w:sz="4" w:space="0" w:color="767171" w:themeColor="background2" w:themeShade="80"/>
              <w:bottom w:val="single" w:sz="4" w:space="0" w:color="767171" w:themeColor="background2" w:themeShade="80"/>
            </w:tcBorders>
            <w:vAlign w:val="center"/>
          </w:tcPr>
          <w:p w14:paraId="214DC18A" w14:textId="022BBE71" w:rsidR="00705024" w:rsidRPr="00705024" w:rsidRDefault="00705024" w:rsidP="005B611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w:t>
            </w:r>
          </w:p>
        </w:tc>
        <w:tc>
          <w:tcPr>
            <w:tcW w:w="1008" w:type="dxa"/>
            <w:tcBorders>
              <w:top w:val="single" w:sz="4" w:space="0" w:color="767171" w:themeColor="background2" w:themeShade="80"/>
              <w:bottom w:val="single" w:sz="4" w:space="0" w:color="767171" w:themeColor="background2" w:themeShade="80"/>
            </w:tcBorders>
          </w:tcPr>
          <w:p w14:paraId="239AEF68" w14:textId="04CF571E" w:rsidR="00705024" w:rsidRPr="00705024" w:rsidRDefault="00705024" w:rsidP="00705024">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r>
    </w:tbl>
    <w:p w14:paraId="7C6A9C8F" w14:textId="77777777" w:rsidR="00451069" w:rsidRDefault="00451069" w:rsidP="00451069">
      <w:pPr>
        <w:rPr>
          <w:rFonts w:ascii="Open Sans" w:hAnsi="Open Sans" w:cs="Open Sans"/>
        </w:rPr>
        <w:sectPr w:rsidR="00451069" w:rsidSect="00214EE2">
          <w:pgSz w:w="15840" w:h="12240" w:orient="landscape"/>
          <w:pgMar w:top="1440" w:right="1440" w:bottom="1440" w:left="1440" w:header="720" w:footer="720" w:gutter="0"/>
          <w:cols w:space="720"/>
          <w:docGrid w:linePitch="360"/>
        </w:sectPr>
      </w:pPr>
    </w:p>
    <w:p w14:paraId="319FC485" w14:textId="77777777" w:rsidR="00196B63" w:rsidRPr="002B6ACD" w:rsidRDefault="00196B63" w:rsidP="002B6ACD">
      <w:pPr>
        <w:spacing w:before="160"/>
        <w:rPr>
          <w:rFonts w:ascii="Open Sans" w:hAnsi="Open Sans" w:cs="Open Sans"/>
        </w:rPr>
      </w:pPr>
    </w:p>
    <w:sectPr w:rsidR="00196B63" w:rsidRPr="002B6ACD" w:rsidSect="004510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96A8" w14:textId="77777777" w:rsidR="00D74039" w:rsidRDefault="00D74039" w:rsidP="00561672">
      <w:pPr>
        <w:spacing w:after="0" w:line="240" w:lineRule="auto"/>
      </w:pPr>
      <w:r>
        <w:separator/>
      </w:r>
    </w:p>
  </w:endnote>
  <w:endnote w:type="continuationSeparator" w:id="0">
    <w:p w14:paraId="264FF49F" w14:textId="77777777" w:rsidR="00D74039" w:rsidRDefault="00D74039" w:rsidP="00561672">
      <w:pPr>
        <w:spacing w:after="0" w:line="240" w:lineRule="auto"/>
      </w:pPr>
      <w:r>
        <w:continuationSeparator/>
      </w:r>
    </w:p>
  </w:endnote>
  <w:endnote w:type="continuationNotice" w:id="1">
    <w:p w14:paraId="0F3507F6" w14:textId="77777777" w:rsidR="00D74039" w:rsidRDefault="00D74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PT Medium">
    <w:altName w:val="Century Gothic"/>
    <w:panose1 w:val="00000000000000000000"/>
    <w:charset w:val="00"/>
    <w:family w:val="swiss"/>
    <w:notTrueType/>
    <w:pitch w:val="variable"/>
    <w:sig w:usb0="A00002FF" w:usb1="5000204B" w:usb2="00000000" w:usb3="00000000" w:csb0="00000097"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99F28" w14:textId="77777777" w:rsidR="00D74039" w:rsidRDefault="00D74039" w:rsidP="00561672">
      <w:pPr>
        <w:spacing w:after="0" w:line="240" w:lineRule="auto"/>
      </w:pPr>
      <w:r>
        <w:separator/>
      </w:r>
    </w:p>
  </w:footnote>
  <w:footnote w:type="continuationSeparator" w:id="0">
    <w:p w14:paraId="50D4C4C2" w14:textId="77777777" w:rsidR="00D74039" w:rsidRDefault="00D74039" w:rsidP="00561672">
      <w:pPr>
        <w:spacing w:after="0" w:line="240" w:lineRule="auto"/>
      </w:pPr>
      <w:r>
        <w:continuationSeparator/>
      </w:r>
    </w:p>
  </w:footnote>
  <w:footnote w:type="continuationNotice" w:id="1">
    <w:p w14:paraId="794E9E68" w14:textId="77777777" w:rsidR="00D74039" w:rsidRDefault="00D74039">
      <w:pPr>
        <w:spacing w:after="0" w:line="240" w:lineRule="auto"/>
      </w:pPr>
    </w:p>
  </w:footnote>
  <w:footnote w:id="2">
    <w:p w14:paraId="40D1EE04" w14:textId="77777777" w:rsidR="00A31412" w:rsidRDefault="00A31412" w:rsidP="00A31412">
      <w:pPr>
        <w:pStyle w:val="FootnoteText"/>
      </w:pPr>
      <w:r>
        <w:rPr>
          <w:rStyle w:val="FootnoteReference"/>
        </w:rPr>
        <w:footnoteRef/>
      </w:r>
      <w:r>
        <w:t xml:space="preserve"> The data used to determine rural status is based on the guidelines provided by the Homeland Infrastructure Foundation-Level Data (HIFLD). More information can be found </w:t>
      </w:r>
      <w:hyperlink r:id="rId1" w:history="1">
        <w:r w:rsidRPr="00F46E12">
          <w:rPr>
            <w:rStyle w:val="Hyperlink"/>
          </w:rPr>
          <w:t>here</w:t>
        </w:r>
      </w:hyperlink>
      <w:r>
        <w:t xml:space="preserve">. </w:t>
      </w:r>
    </w:p>
  </w:footnote>
  <w:footnote w:id="3">
    <w:p w14:paraId="2626EBCA" w14:textId="77777777" w:rsidR="00AD4451" w:rsidRDefault="00AD4451" w:rsidP="00966CE9">
      <w:pPr>
        <w:pStyle w:val="FootnoteText"/>
      </w:pPr>
      <w:r>
        <w:rPr>
          <w:rStyle w:val="FootnoteReference"/>
        </w:rPr>
        <w:footnoteRef/>
      </w:r>
      <w:r>
        <w:t xml:space="preserve"> </w:t>
      </w:r>
      <w:r w:rsidRPr="00B278BE">
        <w:rPr>
          <w:rFonts w:ascii="Open Sans" w:hAnsi="Open Sans" w:cs="Open Sans"/>
          <w:i/>
          <w:iCs/>
        </w:rPr>
        <w:t>Target audiences include entrepreneurs; K-12 public school students; university students, faculty, and/or researchers, and rural-based economic development partnerships.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E6A5" w14:textId="329A5BA4" w:rsidR="00561672" w:rsidRDefault="00D5763C">
    <w:pPr>
      <w:pStyle w:val="Header"/>
    </w:pPr>
    <w:r>
      <w:rPr>
        <w:noProof/>
      </w:rPr>
      <w:drawing>
        <wp:anchor distT="0" distB="0" distL="114300" distR="114300" simplePos="0" relativeHeight="251657216" behindDoc="0" locked="0" layoutInCell="1" allowOverlap="1" wp14:anchorId="260B5A60" wp14:editId="2A0A9A1E">
          <wp:simplePos x="0" y="0"/>
          <wp:positionH relativeFrom="rightMargin">
            <wp:align>left</wp:align>
          </wp:positionH>
          <wp:positionV relativeFrom="paragraph">
            <wp:posOffset>-138761</wp:posOffset>
          </wp:positionV>
          <wp:extent cx="596127" cy="596127"/>
          <wp:effectExtent l="0" t="0" r="0" b="0"/>
          <wp:wrapNone/>
          <wp:docPr id="1960606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068" name="Picture 1" descr="A logo with text on i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127" cy="596127"/>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480059415"/>
        <w:docPartObj>
          <w:docPartGallery w:val="Watermarks"/>
          <w:docPartUnique/>
        </w:docPartObj>
      </w:sdtPr>
      <w:sdtEndPr/>
      <w:sdtContent>
        <w:r w:rsidR="007F01F4">
          <w:rPr>
            <w:noProof/>
          </w:rPr>
          <w:pict w14:anchorId="25742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33BE3" w:rsidRPr="00833BE3">
      <w:rPr>
        <w:rFonts w:ascii="Open Sans" w:hAnsi="Open Sans" w:cs="Open Sans"/>
        <w:sz w:val="32"/>
        <w:szCs w:val="32"/>
      </w:rPr>
      <w:t xml:space="preserve"> </w:t>
    </w:r>
    <w:r w:rsidR="00833BE3" w:rsidRPr="00833BE3">
      <w:t xml:space="preserve">Updated: </w:t>
    </w:r>
    <w:r w:rsidR="003D1DF5">
      <w:t>10</w:t>
    </w:r>
    <w:r w:rsidR="00833BE3" w:rsidRPr="00833BE3">
      <w:t>/</w:t>
    </w:r>
    <w:r w:rsidR="003D1DF5">
      <w:t>1</w:t>
    </w:r>
    <w:r w:rsidR="00EE1522">
      <w:t>1</w:t>
    </w:r>
    <w:r w:rsidR="00833BE3" w:rsidRPr="00833BE3">
      <w:t>/2023</w:t>
    </w:r>
    <w:r w:rsidR="008D07FA">
      <w:tab/>
    </w:r>
    <w:r w:rsidR="008D07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7DE1"/>
    <w:multiLevelType w:val="hybridMultilevel"/>
    <w:tmpl w:val="C54A3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CE16A7"/>
    <w:multiLevelType w:val="hybridMultilevel"/>
    <w:tmpl w:val="ADB698D4"/>
    <w:lvl w:ilvl="0" w:tplc="456A6A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494E6C"/>
    <w:multiLevelType w:val="hybridMultilevel"/>
    <w:tmpl w:val="AD981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CE706D"/>
    <w:multiLevelType w:val="hybridMultilevel"/>
    <w:tmpl w:val="8EA01D3A"/>
    <w:lvl w:ilvl="0" w:tplc="2E82AD4C">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860C2"/>
    <w:multiLevelType w:val="hybridMultilevel"/>
    <w:tmpl w:val="34F2B540"/>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5216B0"/>
    <w:multiLevelType w:val="hybridMultilevel"/>
    <w:tmpl w:val="9A5E8E98"/>
    <w:lvl w:ilvl="0" w:tplc="C4360822">
      <w:numFmt w:val="bullet"/>
      <w:lvlText w:val="-"/>
      <w:lvlJc w:val="left"/>
      <w:pPr>
        <w:ind w:left="720" w:hanging="360"/>
      </w:pPr>
      <w:rPr>
        <w:rFonts w:ascii="Open Sans" w:eastAsiaTheme="minorHAnsi" w:hAnsi="Open Sans" w:cs="Open Sans"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64499"/>
    <w:multiLevelType w:val="multilevel"/>
    <w:tmpl w:val="1B306F7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522DF3"/>
    <w:multiLevelType w:val="hybridMultilevel"/>
    <w:tmpl w:val="EC728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1044A"/>
    <w:multiLevelType w:val="hybridMultilevel"/>
    <w:tmpl w:val="7D58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56DBD"/>
    <w:multiLevelType w:val="hybridMultilevel"/>
    <w:tmpl w:val="64C8C6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F1E4340"/>
    <w:multiLevelType w:val="hybridMultilevel"/>
    <w:tmpl w:val="C67C3310"/>
    <w:lvl w:ilvl="0" w:tplc="2E82AD4C">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60D2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6F816A3B"/>
    <w:multiLevelType w:val="hybridMultilevel"/>
    <w:tmpl w:val="57BC43D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420B07"/>
    <w:multiLevelType w:val="hybridMultilevel"/>
    <w:tmpl w:val="BCCA44FC"/>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6B6187"/>
    <w:multiLevelType w:val="hybridMultilevel"/>
    <w:tmpl w:val="68CA9696"/>
    <w:lvl w:ilvl="0" w:tplc="2E82AD4C">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671C0"/>
    <w:multiLevelType w:val="hybridMultilevel"/>
    <w:tmpl w:val="29C26B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BF82B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D811CB8"/>
    <w:multiLevelType w:val="hybridMultilevel"/>
    <w:tmpl w:val="F7367642"/>
    <w:lvl w:ilvl="0" w:tplc="85BCF8C0">
      <w:start w:val="1"/>
      <w:numFmt w:val="decimal"/>
      <w:pStyle w:val="Style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5E52FCCA">
      <w:start w:val="4"/>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724020">
    <w:abstractNumId w:val="11"/>
  </w:num>
  <w:num w:numId="2" w16cid:durableId="1726952571">
    <w:abstractNumId w:val="17"/>
  </w:num>
  <w:num w:numId="3" w16cid:durableId="199324586">
    <w:abstractNumId w:val="1"/>
  </w:num>
  <w:num w:numId="4" w16cid:durableId="1347755614">
    <w:abstractNumId w:val="5"/>
  </w:num>
  <w:num w:numId="5" w16cid:durableId="14188685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336170">
    <w:abstractNumId w:val="6"/>
  </w:num>
  <w:num w:numId="7" w16cid:durableId="1937402135">
    <w:abstractNumId w:val="8"/>
  </w:num>
  <w:num w:numId="8" w16cid:durableId="1497112624">
    <w:abstractNumId w:val="10"/>
  </w:num>
  <w:num w:numId="9" w16cid:durableId="552666288">
    <w:abstractNumId w:val="14"/>
  </w:num>
  <w:num w:numId="10" w16cid:durableId="2115975188">
    <w:abstractNumId w:val="3"/>
  </w:num>
  <w:num w:numId="11" w16cid:durableId="1065107128">
    <w:abstractNumId w:val="13"/>
  </w:num>
  <w:num w:numId="12" w16cid:durableId="686366809">
    <w:abstractNumId w:val="12"/>
  </w:num>
  <w:num w:numId="13" w16cid:durableId="1997412443">
    <w:abstractNumId w:val="2"/>
  </w:num>
  <w:num w:numId="14" w16cid:durableId="864246628">
    <w:abstractNumId w:val="9"/>
  </w:num>
  <w:num w:numId="15" w16cid:durableId="1111632728">
    <w:abstractNumId w:val="4"/>
  </w:num>
  <w:num w:numId="16" w16cid:durableId="1196842683">
    <w:abstractNumId w:val="15"/>
  </w:num>
  <w:num w:numId="17" w16cid:durableId="190849015">
    <w:abstractNumId w:val="0"/>
  </w:num>
  <w:num w:numId="18" w16cid:durableId="1244685044">
    <w:abstractNumId w:val="16"/>
  </w:num>
  <w:num w:numId="19" w16cid:durableId="2013212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3F"/>
    <w:rsid w:val="00016C71"/>
    <w:rsid w:val="0002479A"/>
    <w:rsid w:val="00030621"/>
    <w:rsid w:val="0003082F"/>
    <w:rsid w:val="00031510"/>
    <w:rsid w:val="00034491"/>
    <w:rsid w:val="00036E04"/>
    <w:rsid w:val="000376AB"/>
    <w:rsid w:val="000456B6"/>
    <w:rsid w:val="000476D5"/>
    <w:rsid w:val="0005140C"/>
    <w:rsid w:val="00051581"/>
    <w:rsid w:val="00056B7A"/>
    <w:rsid w:val="000602B3"/>
    <w:rsid w:val="00064BD9"/>
    <w:rsid w:val="000678A1"/>
    <w:rsid w:val="000768F9"/>
    <w:rsid w:val="0008301C"/>
    <w:rsid w:val="00085569"/>
    <w:rsid w:val="000A20BF"/>
    <w:rsid w:val="000A3E2B"/>
    <w:rsid w:val="000B62E7"/>
    <w:rsid w:val="000C0E33"/>
    <w:rsid w:val="000C56E8"/>
    <w:rsid w:val="000D35FB"/>
    <w:rsid w:val="000D673F"/>
    <w:rsid w:val="000D6E46"/>
    <w:rsid w:val="000D77E1"/>
    <w:rsid w:val="000D7F8B"/>
    <w:rsid w:val="000E075B"/>
    <w:rsid w:val="000E3711"/>
    <w:rsid w:val="000E6987"/>
    <w:rsid w:val="000E7211"/>
    <w:rsid w:val="000F7745"/>
    <w:rsid w:val="0013691D"/>
    <w:rsid w:val="0013755A"/>
    <w:rsid w:val="00137589"/>
    <w:rsid w:val="001460F1"/>
    <w:rsid w:val="00147570"/>
    <w:rsid w:val="001508E0"/>
    <w:rsid w:val="00157847"/>
    <w:rsid w:val="00163F21"/>
    <w:rsid w:val="00167719"/>
    <w:rsid w:val="001754C9"/>
    <w:rsid w:val="00187C45"/>
    <w:rsid w:val="00196B63"/>
    <w:rsid w:val="001A55A7"/>
    <w:rsid w:val="001B0A11"/>
    <w:rsid w:val="001B298C"/>
    <w:rsid w:val="001C480A"/>
    <w:rsid w:val="001E33FB"/>
    <w:rsid w:val="001E7843"/>
    <w:rsid w:val="00204BA6"/>
    <w:rsid w:val="00214EE2"/>
    <w:rsid w:val="00224EA6"/>
    <w:rsid w:val="00230FB8"/>
    <w:rsid w:val="002363EA"/>
    <w:rsid w:val="002502CF"/>
    <w:rsid w:val="002674C3"/>
    <w:rsid w:val="002738D6"/>
    <w:rsid w:val="0027550A"/>
    <w:rsid w:val="00283838"/>
    <w:rsid w:val="00285EB3"/>
    <w:rsid w:val="002B2923"/>
    <w:rsid w:val="002B2BC8"/>
    <w:rsid w:val="002B4B26"/>
    <w:rsid w:val="002B4CA0"/>
    <w:rsid w:val="002B6ACD"/>
    <w:rsid w:val="002CC3BF"/>
    <w:rsid w:val="002D5961"/>
    <w:rsid w:val="002E25CB"/>
    <w:rsid w:val="002E2A10"/>
    <w:rsid w:val="002E3877"/>
    <w:rsid w:val="002E3C6B"/>
    <w:rsid w:val="002E4384"/>
    <w:rsid w:val="002E571A"/>
    <w:rsid w:val="00306CFB"/>
    <w:rsid w:val="003248BA"/>
    <w:rsid w:val="0033009B"/>
    <w:rsid w:val="00336C07"/>
    <w:rsid w:val="00347D99"/>
    <w:rsid w:val="0035471F"/>
    <w:rsid w:val="00380FDE"/>
    <w:rsid w:val="003824D2"/>
    <w:rsid w:val="00384306"/>
    <w:rsid w:val="00394218"/>
    <w:rsid w:val="003B08EC"/>
    <w:rsid w:val="003C213F"/>
    <w:rsid w:val="003D1DF5"/>
    <w:rsid w:val="003D2A5C"/>
    <w:rsid w:val="003E1521"/>
    <w:rsid w:val="003F2972"/>
    <w:rsid w:val="003F4CE0"/>
    <w:rsid w:val="003F594C"/>
    <w:rsid w:val="003F71D2"/>
    <w:rsid w:val="003F7688"/>
    <w:rsid w:val="00405A93"/>
    <w:rsid w:val="004132DB"/>
    <w:rsid w:val="00417F21"/>
    <w:rsid w:val="00434245"/>
    <w:rsid w:val="00441EE4"/>
    <w:rsid w:val="00450FE2"/>
    <w:rsid w:val="00451069"/>
    <w:rsid w:val="00465EA8"/>
    <w:rsid w:val="00471CC0"/>
    <w:rsid w:val="00477680"/>
    <w:rsid w:val="004A4687"/>
    <w:rsid w:val="004A5824"/>
    <w:rsid w:val="004A6244"/>
    <w:rsid w:val="004A6372"/>
    <w:rsid w:val="004C0511"/>
    <w:rsid w:val="004D2396"/>
    <w:rsid w:val="004D59D6"/>
    <w:rsid w:val="004D6D5B"/>
    <w:rsid w:val="004E4E89"/>
    <w:rsid w:val="004E6793"/>
    <w:rsid w:val="004F04A4"/>
    <w:rsid w:val="004F1AF7"/>
    <w:rsid w:val="004F2333"/>
    <w:rsid w:val="004F2492"/>
    <w:rsid w:val="004F4483"/>
    <w:rsid w:val="004F5E23"/>
    <w:rsid w:val="00507E2E"/>
    <w:rsid w:val="00510ED8"/>
    <w:rsid w:val="00512AF5"/>
    <w:rsid w:val="00520FE9"/>
    <w:rsid w:val="00537874"/>
    <w:rsid w:val="005431AC"/>
    <w:rsid w:val="005513B0"/>
    <w:rsid w:val="00560FA0"/>
    <w:rsid w:val="00561672"/>
    <w:rsid w:val="00561DB9"/>
    <w:rsid w:val="00563E5B"/>
    <w:rsid w:val="005774F3"/>
    <w:rsid w:val="005825F5"/>
    <w:rsid w:val="005B00E0"/>
    <w:rsid w:val="005B6115"/>
    <w:rsid w:val="005C2EE9"/>
    <w:rsid w:val="005D3235"/>
    <w:rsid w:val="005D5893"/>
    <w:rsid w:val="005E570F"/>
    <w:rsid w:val="005E6A7A"/>
    <w:rsid w:val="005E758C"/>
    <w:rsid w:val="005F3ACF"/>
    <w:rsid w:val="005F717A"/>
    <w:rsid w:val="00601F46"/>
    <w:rsid w:val="00602BDE"/>
    <w:rsid w:val="00605A46"/>
    <w:rsid w:val="006139CF"/>
    <w:rsid w:val="00620E1B"/>
    <w:rsid w:val="00622262"/>
    <w:rsid w:val="006301FE"/>
    <w:rsid w:val="006449C3"/>
    <w:rsid w:val="00673FD1"/>
    <w:rsid w:val="0067448C"/>
    <w:rsid w:val="00676C81"/>
    <w:rsid w:val="006821F1"/>
    <w:rsid w:val="006830CA"/>
    <w:rsid w:val="0069094C"/>
    <w:rsid w:val="006C0639"/>
    <w:rsid w:val="006C4372"/>
    <w:rsid w:val="006E0F47"/>
    <w:rsid w:val="006F0014"/>
    <w:rsid w:val="006F105B"/>
    <w:rsid w:val="006F6469"/>
    <w:rsid w:val="00701567"/>
    <w:rsid w:val="007021B5"/>
    <w:rsid w:val="00702BC5"/>
    <w:rsid w:val="00705024"/>
    <w:rsid w:val="00707F84"/>
    <w:rsid w:val="00712EC8"/>
    <w:rsid w:val="007133EF"/>
    <w:rsid w:val="00731824"/>
    <w:rsid w:val="00734F35"/>
    <w:rsid w:val="00744E4C"/>
    <w:rsid w:val="007533C3"/>
    <w:rsid w:val="00754EC3"/>
    <w:rsid w:val="00755E4E"/>
    <w:rsid w:val="00757545"/>
    <w:rsid w:val="0076247E"/>
    <w:rsid w:val="0076744F"/>
    <w:rsid w:val="00772B72"/>
    <w:rsid w:val="00773BC9"/>
    <w:rsid w:val="00780DC1"/>
    <w:rsid w:val="00786095"/>
    <w:rsid w:val="00787BFF"/>
    <w:rsid w:val="007909EA"/>
    <w:rsid w:val="007923E5"/>
    <w:rsid w:val="007A2BDC"/>
    <w:rsid w:val="007A4768"/>
    <w:rsid w:val="007B19AD"/>
    <w:rsid w:val="007B38C5"/>
    <w:rsid w:val="007B4946"/>
    <w:rsid w:val="007C2E39"/>
    <w:rsid w:val="007C4781"/>
    <w:rsid w:val="007F01F4"/>
    <w:rsid w:val="007F3974"/>
    <w:rsid w:val="00801060"/>
    <w:rsid w:val="00812E9A"/>
    <w:rsid w:val="00821B85"/>
    <w:rsid w:val="0082327A"/>
    <w:rsid w:val="00833BE3"/>
    <w:rsid w:val="00833D4A"/>
    <w:rsid w:val="00834E17"/>
    <w:rsid w:val="0083532E"/>
    <w:rsid w:val="008441BC"/>
    <w:rsid w:val="008443C6"/>
    <w:rsid w:val="00853912"/>
    <w:rsid w:val="00864891"/>
    <w:rsid w:val="00864976"/>
    <w:rsid w:val="0087611D"/>
    <w:rsid w:val="008768A5"/>
    <w:rsid w:val="00881691"/>
    <w:rsid w:val="008D07FA"/>
    <w:rsid w:val="008D77BA"/>
    <w:rsid w:val="008E0783"/>
    <w:rsid w:val="008E2F0D"/>
    <w:rsid w:val="008E75C5"/>
    <w:rsid w:val="008F1363"/>
    <w:rsid w:val="00902054"/>
    <w:rsid w:val="00904DC3"/>
    <w:rsid w:val="0092103D"/>
    <w:rsid w:val="00924502"/>
    <w:rsid w:val="00927111"/>
    <w:rsid w:val="009305E0"/>
    <w:rsid w:val="00932141"/>
    <w:rsid w:val="0093745D"/>
    <w:rsid w:val="00947E4E"/>
    <w:rsid w:val="0095319A"/>
    <w:rsid w:val="00954EF3"/>
    <w:rsid w:val="00955E1F"/>
    <w:rsid w:val="00960878"/>
    <w:rsid w:val="00961A2E"/>
    <w:rsid w:val="00966CE9"/>
    <w:rsid w:val="00980824"/>
    <w:rsid w:val="009828E1"/>
    <w:rsid w:val="009917F0"/>
    <w:rsid w:val="009C0DDB"/>
    <w:rsid w:val="009E0A2C"/>
    <w:rsid w:val="009E1EEC"/>
    <w:rsid w:val="009F41CD"/>
    <w:rsid w:val="009F6F44"/>
    <w:rsid w:val="009F7A45"/>
    <w:rsid w:val="00A046C6"/>
    <w:rsid w:val="00A05ACC"/>
    <w:rsid w:val="00A05B90"/>
    <w:rsid w:val="00A21572"/>
    <w:rsid w:val="00A27A4A"/>
    <w:rsid w:val="00A30565"/>
    <w:rsid w:val="00A31412"/>
    <w:rsid w:val="00A357F2"/>
    <w:rsid w:val="00A463BF"/>
    <w:rsid w:val="00A55083"/>
    <w:rsid w:val="00A61B96"/>
    <w:rsid w:val="00A657A2"/>
    <w:rsid w:val="00A673DB"/>
    <w:rsid w:val="00A74E0C"/>
    <w:rsid w:val="00A8038E"/>
    <w:rsid w:val="00A92A51"/>
    <w:rsid w:val="00A95F3A"/>
    <w:rsid w:val="00AB15D0"/>
    <w:rsid w:val="00AC4B1B"/>
    <w:rsid w:val="00AD1153"/>
    <w:rsid w:val="00AD3845"/>
    <w:rsid w:val="00AD4451"/>
    <w:rsid w:val="00AD52BD"/>
    <w:rsid w:val="00AE426B"/>
    <w:rsid w:val="00B003B2"/>
    <w:rsid w:val="00B01741"/>
    <w:rsid w:val="00B01A57"/>
    <w:rsid w:val="00B1739D"/>
    <w:rsid w:val="00B25E12"/>
    <w:rsid w:val="00B27007"/>
    <w:rsid w:val="00B278BE"/>
    <w:rsid w:val="00B30C0F"/>
    <w:rsid w:val="00B34913"/>
    <w:rsid w:val="00B3701C"/>
    <w:rsid w:val="00B406CF"/>
    <w:rsid w:val="00B41B3F"/>
    <w:rsid w:val="00B41EE3"/>
    <w:rsid w:val="00B424BC"/>
    <w:rsid w:val="00B47835"/>
    <w:rsid w:val="00B50DD5"/>
    <w:rsid w:val="00B574D1"/>
    <w:rsid w:val="00B645A5"/>
    <w:rsid w:val="00B64D81"/>
    <w:rsid w:val="00B7169C"/>
    <w:rsid w:val="00B764F2"/>
    <w:rsid w:val="00B8055C"/>
    <w:rsid w:val="00B854EA"/>
    <w:rsid w:val="00B91532"/>
    <w:rsid w:val="00BA1625"/>
    <w:rsid w:val="00BA6354"/>
    <w:rsid w:val="00BB78E5"/>
    <w:rsid w:val="00BC0A89"/>
    <w:rsid w:val="00BC21F7"/>
    <w:rsid w:val="00BC4A45"/>
    <w:rsid w:val="00BC7AF1"/>
    <w:rsid w:val="00BD312E"/>
    <w:rsid w:val="00BE3A02"/>
    <w:rsid w:val="00BE53EA"/>
    <w:rsid w:val="00C07D48"/>
    <w:rsid w:val="00C104BD"/>
    <w:rsid w:val="00C2338F"/>
    <w:rsid w:val="00C279E9"/>
    <w:rsid w:val="00C304FA"/>
    <w:rsid w:val="00C35B2E"/>
    <w:rsid w:val="00C37AC7"/>
    <w:rsid w:val="00C44CB3"/>
    <w:rsid w:val="00C62E6B"/>
    <w:rsid w:val="00C73661"/>
    <w:rsid w:val="00C7584E"/>
    <w:rsid w:val="00C8220C"/>
    <w:rsid w:val="00C92DC4"/>
    <w:rsid w:val="00CB0CD8"/>
    <w:rsid w:val="00CB3296"/>
    <w:rsid w:val="00CB7AE4"/>
    <w:rsid w:val="00CC331B"/>
    <w:rsid w:val="00CF46B5"/>
    <w:rsid w:val="00CF66A8"/>
    <w:rsid w:val="00D00F8C"/>
    <w:rsid w:val="00D12B26"/>
    <w:rsid w:val="00D15FEE"/>
    <w:rsid w:val="00D46A92"/>
    <w:rsid w:val="00D476B9"/>
    <w:rsid w:val="00D522A1"/>
    <w:rsid w:val="00D5763C"/>
    <w:rsid w:val="00D62FAD"/>
    <w:rsid w:val="00D71581"/>
    <w:rsid w:val="00D74039"/>
    <w:rsid w:val="00D876F5"/>
    <w:rsid w:val="00D91E2F"/>
    <w:rsid w:val="00DB3429"/>
    <w:rsid w:val="00DC46D5"/>
    <w:rsid w:val="00DC4F46"/>
    <w:rsid w:val="00DC5C1B"/>
    <w:rsid w:val="00DC7AF7"/>
    <w:rsid w:val="00DD4E74"/>
    <w:rsid w:val="00DD5F74"/>
    <w:rsid w:val="00DE2DDB"/>
    <w:rsid w:val="00DE6B5E"/>
    <w:rsid w:val="00DF2ECF"/>
    <w:rsid w:val="00E00F9F"/>
    <w:rsid w:val="00E017E2"/>
    <w:rsid w:val="00E3332E"/>
    <w:rsid w:val="00E365DD"/>
    <w:rsid w:val="00E43204"/>
    <w:rsid w:val="00E708F0"/>
    <w:rsid w:val="00E90099"/>
    <w:rsid w:val="00E936C2"/>
    <w:rsid w:val="00E93A02"/>
    <w:rsid w:val="00E96A22"/>
    <w:rsid w:val="00ED47D0"/>
    <w:rsid w:val="00EE1522"/>
    <w:rsid w:val="00EE2BFF"/>
    <w:rsid w:val="00EE5F46"/>
    <w:rsid w:val="00EF7A83"/>
    <w:rsid w:val="00F20DCD"/>
    <w:rsid w:val="00F2586C"/>
    <w:rsid w:val="00F34DD9"/>
    <w:rsid w:val="00F559BF"/>
    <w:rsid w:val="00F56482"/>
    <w:rsid w:val="00F56CE3"/>
    <w:rsid w:val="00F70AD1"/>
    <w:rsid w:val="00F73F7A"/>
    <w:rsid w:val="00F90C6C"/>
    <w:rsid w:val="00F90ECF"/>
    <w:rsid w:val="00F94A46"/>
    <w:rsid w:val="00FA7073"/>
    <w:rsid w:val="00FA7E4E"/>
    <w:rsid w:val="00FB283C"/>
    <w:rsid w:val="00FB28B1"/>
    <w:rsid w:val="00FC0BD1"/>
    <w:rsid w:val="00FC5CE6"/>
    <w:rsid w:val="00FD1A98"/>
    <w:rsid w:val="00FD2095"/>
    <w:rsid w:val="00FD4F7E"/>
    <w:rsid w:val="00FD78A8"/>
    <w:rsid w:val="00FF7420"/>
    <w:rsid w:val="018600DC"/>
    <w:rsid w:val="036C2501"/>
    <w:rsid w:val="08164CB0"/>
    <w:rsid w:val="10DF127C"/>
    <w:rsid w:val="19596BCB"/>
    <w:rsid w:val="23497CB1"/>
    <w:rsid w:val="23B9B337"/>
    <w:rsid w:val="250C4C7B"/>
    <w:rsid w:val="2B1F487B"/>
    <w:rsid w:val="2B37E0F3"/>
    <w:rsid w:val="2F5C7FA5"/>
    <w:rsid w:val="32AAF456"/>
    <w:rsid w:val="33F289E9"/>
    <w:rsid w:val="343F6411"/>
    <w:rsid w:val="3BF1D1C3"/>
    <w:rsid w:val="3D888CAD"/>
    <w:rsid w:val="45925386"/>
    <w:rsid w:val="4C7264D3"/>
    <w:rsid w:val="4CB71387"/>
    <w:rsid w:val="4E01D289"/>
    <w:rsid w:val="512A30B2"/>
    <w:rsid w:val="56DEEF6E"/>
    <w:rsid w:val="5AF3F629"/>
    <w:rsid w:val="689C0258"/>
    <w:rsid w:val="73C2FD79"/>
    <w:rsid w:val="7E11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ECA7"/>
  <w15:chartTrackingRefBased/>
  <w15:docId w15:val="{D5403849-2CC2-45F7-8B70-CF4B9E24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522"/>
  </w:style>
  <w:style w:type="paragraph" w:styleId="Heading1">
    <w:name w:val="heading 1"/>
    <w:basedOn w:val="Normal"/>
    <w:next w:val="Normal"/>
    <w:link w:val="Heading1Char"/>
    <w:uiPriority w:val="9"/>
    <w:qFormat/>
    <w:rsid w:val="00864976"/>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60878"/>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6087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6087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087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6087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6087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6087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087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Heading">
    <w:name w:val="IA Heading"/>
    <w:basedOn w:val="Heading1"/>
    <w:link w:val="IAHeadingChar"/>
    <w:qFormat/>
    <w:rsid w:val="00864976"/>
    <w:pPr>
      <w:spacing w:line="240" w:lineRule="auto"/>
    </w:pPr>
    <w:rPr>
      <w:rFonts w:ascii="Futura PT Medium" w:eastAsia="DengXian Light" w:hAnsi="Futura PT Medium" w:cs="Times New Roman"/>
      <w:b/>
      <w:color w:val="04B2E2"/>
      <w:szCs w:val="44"/>
      <w:lang w:eastAsia="zh-CN"/>
    </w:rPr>
  </w:style>
  <w:style w:type="character" w:customStyle="1" w:styleId="IAHeadingChar">
    <w:name w:val="IA Heading Char"/>
    <w:basedOn w:val="DefaultParagraphFont"/>
    <w:link w:val="IAHeading"/>
    <w:rsid w:val="00864976"/>
    <w:rPr>
      <w:rFonts w:ascii="Futura PT Medium" w:eastAsia="DengXian Light" w:hAnsi="Futura PT Medium" w:cs="Times New Roman"/>
      <w:b/>
      <w:color w:val="04B2E2"/>
      <w:sz w:val="32"/>
      <w:szCs w:val="44"/>
      <w:lang w:eastAsia="zh-CN"/>
    </w:rPr>
  </w:style>
  <w:style w:type="character" w:customStyle="1" w:styleId="Heading1Char">
    <w:name w:val="Heading 1 Char"/>
    <w:basedOn w:val="DefaultParagraphFont"/>
    <w:link w:val="Heading1"/>
    <w:uiPriority w:val="9"/>
    <w:rsid w:val="00864976"/>
    <w:rPr>
      <w:rFonts w:asciiTheme="majorHAnsi" w:eastAsiaTheme="majorEastAsia" w:hAnsiTheme="majorHAnsi" w:cstheme="majorBidi"/>
      <w:color w:val="2F5496" w:themeColor="accent1" w:themeShade="BF"/>
      <w:sz w:val="32"/>
      <w:szCs w:val="32"/>
    </w:rPr>
  </w:style>
  <w:style w:type="paragraph" w:customStyle="1" w:styleId="SubHeading">
    <w:name w:val="Sub Heading"/>
    <w:basedOn w:val="Normal"/>
    <w:link w:val="SubHeadingChar"/>
    <w:autoRedefine/>
    <w:qFormat/>
    <w:rsid w:val="00864976"/>
    <w:pPr>
      <w:spacing w:before="120" w:after="0" w:line="240" w:lineRule="auto"/>
    </w:pPr>
    <w:rPr>
      <w:rFonts w:ascii="Futura PT Medium" w:eastAsia="DengXian" w:hAnsi="Futura PT Medium" w:cs="Times New Roman"/>
      <w:b/>
      <w:sz w:val="21"/>
      <w:szCs w:val="21"/>
      <w:lang w:eastAsia="zh-CN"/>
    </w:rPr>
  </w:style>
  <w:style w:type="character" w:customStyle="1" w:styleId="SubHeadingChar">
    <w:name w:val="Sub Heading Char"/>
    <w:basedOn w:val="DefaultParagraphFont"/>
    <w:link w:val="SubHeading"/>
    <w:rsid w:val="00864976"/>
    <w:rPr>
      <w:rFonts w:ascii="Futura PT Medium" w:eastAsia="DengXian" w:hAnsi="Futura PT Medium" w:cs="Times New Roman"/>
      <w:b/>
      <w:sz w:val="21"/>
      <w:szCs w:val="21"/>
      <w:lang w:eastAsia="zh-CN"/>
    </w:rPr>
  </w:style>
  <w:style w:type="character" w:customStyle="1" w:styleId="Heading2Char">
    <w:name w:val="Heading 2 Char"/>
    <w:basedOn w:val="DefaultParagraphFont"/>
    <w:link w:val="Heading2"/>
    <w:uiPriority w:val="9"/>
    <w:semiHidden/>
    <w:rsid w:val="0096087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6087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6087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6087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6087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6087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6087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087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F2492"/>
    <w:pPr>
      <w:ind w:left="720"/>
      <w:contextualSpacing/>
    </w:pPr>
  </w:style>
  <w:style w:type="paragraph" w:customStyle="1" w:styleId="Style1">
    <w:name w:val="Style1"/>
    <w:basedOn w:val="ListParagraph"/>
    <w:link w:val="Style1Char"/>
    <w:qFormat/>
    <w:rsid w:val="000D35FB"/>
    <w:pPr>
      <w:numPr>
        <w:numId w:val="2"/>
      </w:numPr>
    </w:pPr>
    <w:rPr>
      <w:rFonts w:ascii="Open Sans" w:hAnsi="Open Sans" w:cs="Open Sans"/>
    </w:rPr>
  </w:style>
  <w:style w:type="character" w:styleId="CommentReference">
    <w:name w:val="annotation reference"/>
    <w:basedOn w:val="DefaultParagraphFont"/>
    <w:uiPriority w:val="99"/>
    <w:semiHidden/>
    <w:unhideWhenUsed/>
    <w:rsid w:val="005513B0"/>
    <w:rPr>
      <w:sz w:val="16"/>
      <w:szCs w:val="16"/>
    </w:rPr>
  </w:style>
  <w:style w:type="character" w:customStyle="1" w:styleId="ListParagraphChar">
    <w:name w:val="List Paragraph Char"/>
    <w:basedOn w:val="DefaultParagraphFont"/>
    <w:link w:val="ListParagraph"/>
    <w:uiPriority w:val="34"/>
    <w:rsid w:val="000D35FB"/>
  </w:style>
  <w:style w:type="character" w:customStyle="1" w:styleId="Style1Char">
    <w:name w:val="Style1 Char"/>
    <w:basedOn w:val="ListParagraphChar"/>
    <w:link w:val="Style1"/>
    <w:rsid w:val="000D35FB"/>
    <w:rPr>
      <w:rFonts w:ascii="Open Sans" w:hAnsi="Open Sans" w:cs="Open Sans"/>
    </w:rPr>
  </w:style>
  <w:style w:type="paragraph" w:styleId="CommentText">
    <w:name w:val="annotation text"/>
    <w:basedOn w:val="Normal"/>
    <w:link w:val="CommentTextChar"/>
    <w:uiPriority w:val="99"/>
    <w:unhideWhenUsed/>
    <w:rsid w:val="005513B0"/>
    <w:pPr>
      <w:spacing w:line="240" w:lineRule="auto"/>
    </w:pPr>
    <w:rPr>
      <w:sz w:val="20"/>
      <w:szCs w:val="20"/>
    </w:rPr>
  </w:style>
  <w:style w:type="character" w:customStyle="1" w:styleId="CommentTextChar">
    <w:name w:val="Comment Text Char"/>
    <w:basedOn w:val="DefaultParagraphFont"/>
    <w:link w:val="CommentText"/>
    <w:uiPriority w:val="99"/>
    <w:rsid w:val="005513B0"/>
    <w:rPr>
      <w:sz w:val="20"/>
      <w:szCs w:val="20"/>
    </w:rPr>
  </w:style>
  <w:style w:type="paragraph" w:styleId="CommentSubject">
    <w:name w:val="annotation subject"/>
    <w:basedOn w:val="CommentText"/>
    <w:next w:val="CommentText"/>
    <w:link w:val="CommentSubjectChar"/>
    <w:uiPriority w:val="99"/>
    <w:semiHidden/>
    <w:unhideWhenUsed/>
    <w:rsid w:val="005513B0"/>
    <w:rPr>
      <w:b/>
      <w:bCs/>
    </w:rPr>
  </w:style>
  <w:style w:type="character" w:customStyle="1" w:styleId="CommentSubjectChar">
    <w:name w:val="Comment Subject Char"/>
    <w:basedOn w:val="CommentTextChar"/>
    <w:link w:val="CommentSubject"/>
    <w:uiPriority w:val="99"/>
    <w:semiHidden/>
    <w:rsid w:val="005513B0"/>
    <w:rPr>
      <w:b/>
      <w:bCs/>
      <w:sz w:val="20"/>
      <w:szCs w:val="20"/>
    </w:rPr>
  </w:style>
  <w:style w:type="character" w:styleId="Hyperlink">
    <w:name w:val="Hyperlink"/>
    <w:basedOn w:val="DefaultParagraphFont"/>
    <w:uiPriority w:val="99"/>
    <w:unhideWhenUsed/>
    <w:rsid w:val="00D00F8C"/>
    <w:rPr>
      <w:color w:val="0563C1" w:themeColor="hyperlink"/>
      <w:u w:val="single"/>
    </w:rPr>
  </w:style>
  <w:style w:type="character" w:styleId="UnresolvedMention">
    <w:name w:val="Unresolved Mention"/>
    <w:basedOn w:val="DefaultParagraphFont"/>
    <w:uiPriority w:val="99"/>
    <w:semiHidden/>
    <w:unhideWhenUsed/>
    <w:rsid w:val="00D00F8C"/>
    <w:rPr>
      <w:color w:val="605E5C"/>
      <w:shd w:val="clear" w:color="auto" w:fill="E1DFDD"/>
    </w:rPr>
  </w:style>
  <w:style w:type="character" w:styleId="Mention">
    <w:name w:val="Mention"/>
    <w:basedOn w:val="DefaultParagraphFont"/>
    <w:uiPriority w:val="99"/>
    <w:unhideWhenUsed/>
    <w:rsid w:val="003F2972"/>
    <w:rPr>
      <w:color w:val="2B579A"/>
      <w:shd w:val="clear" w:color="auto" w:fill="E1DFDD"/>
    </w:rPr>
  </w:style>
  <w:style w:type="paragraph" w:styleId="Header">
    <w:name w:val="header"/>
    <w:basedOn w:val="Normal"/>
    <w:link w:val="HeaderChar"/>
    <w:uiPriority w:val="99"/>
    <w:unhideWhenUsed/>
    <w:rsid w:val="00561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672"/>
  </w:style>
  <w:style w:type="paragraph" w:styleId="Footer">
    <w:name w:val="footer"/>
    <w:basedOn w:val="Normal"/>
    <w:link w:val="FooterChar"/>
    <w:uiPriority w:val="99"/>
    <w:unhideWhenUsed/>
    <w:rsid w:val="00561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672"/>
  </w:style>
  <w:style w:type="table" w:styleId="TableGrid">
    <w:name w:val="Table Grid"/>
    <w:basedOn w:val="TableNormal"/>
    <w:uiPriority w:val="39"/>
    <w:rsid w:val="0013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5E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EA8"/>
    <w:rPr>
      <w:sz w:val="20"/>
      <w:szCs w:val="20"/>
    </w:rPr>
  </w:style>
  <w:style w:type="character" w:styleId="FootnoteReference">
    <w:name w:val="footnote reference"/>
    <w:basedOn w:val="DefaultParagraphFont"/>
    <w:uiPriority w:val="99"/>
    <w:semiHidden/>
    <w:unhideWhenUsed/>
    <w:rsid w:val="00465EA8"/>
    <w:rPr>
      <w:vertAlign w:val="superscript"/>
    </w:rPr>
  </w:style>
  <w:style w:type="table" w:styleId="PlainTable3">
    <w:name w:val="Plain Table 3"/>
    <w:basedOn w:val="TableNormal"/>
    <w:uiPriority w:val="43"/>
    <w:rsid w:val="00A92A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050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B61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5525">
      <w:bodyDiv w:val="1"/>
      <w:marLeft w:val="0"/>
      <w:marRight w:val="0"/>
      <w:marTop w:val="0"/>
      <w:marBottom w:val="0"/>
      <w:divBdr>
        <w:top w:val="none" w:sz="0" w:space="0" w:color="auto"/>
        <w:left w:val="none" w:sz="0" w:space="0" w:color="auto"/>
        <w:bottom w:val="none" w:sz="0" w:space="0" w:color="auto"/>
        <w:right w:val="none" w:sz="0" w:space="0" w:color="auto"/>
      </w:divBdr>
      <w:divsChild>
        <w:div w:id="957223907">
          <w:marLeft w:val="0"/>
          <w:marRight w:val="0"/>
          <w:marTop w:val="0"/>
          <w:marBottom w:val="0"/>
          <w:divBdr>
            <w:top w:val="none" w:sz="0" w:space="0" w:color="auto"/>
            <w:left w:val="none" w:sz="0" w:space="0" w:color="auto"/>
            <w:bottom w:val="none" w:sz="0" w:space="0" w:color="auto"/>
            <w:right w:val="none" w:sz="0" w:space="0" w:color="auto"/>
          </w:divBdr>
          <w:divsChild>
            <w:div w:id="1391804148">
              <w:marLeft w:val="0"/>
              <w:marRight w:val="0"/>
              <w:marTop w:val="0"/>
              <w:marBottom w:val="0"/>
              <w:divBdr>
                <w:top w:val="none" w:sz="0" w:space="0" w:color="auto"/>
                <w:left w:val="none" w:sz="0" w:space="0" w:color="auto"/>
                <w:bottom w:val="none" w:sz="0" w:space="0" w:color="auto"/>
                <w:right w:val="none" w:sz="0" w:space="0" w:color="auto"/>
              </w:divBdr>
            </w:div>
          </w:divsChild>
        </w:div>
        <w:div w:id="1249146385">
          <w:marLeft w:val="0"/>
          <w:marRight w:val="0"/>
          <w:marTop w:val="0"/>
          <w:marBottom w:val="0"/>
          <w:divBdr>
            <w:top w:val="none" w:sz="0" w:space="0" w:color="auto"/>
            <w:left w:val="none" w:sz="0" w:space="0" w:color="auto"/>
            <w:bottom w:val="none" w:sz="0" w:space="0" w:color="auto"/>
            <w:right w:val="none" w:sz="0" w:space="0" w:color="auto"/>
          </w:divBdr>
        </w:div>
        <w:div w:id="1734427371">
          <w:marLeft w:val="0"/>
          <w:marRight w:val="0"/>
          <w:marTop w:val="0"/>
          <w:marBottom w:val="0"/>
          <w:divBdr>
            <w:top w:val="none" w:sz="0" w:space="0" w:color="auto"/>
            <w:left w:val="none" w:sz="0" w:space="0" w:color="auto"/>
            <w:bottom w:val="none" w:sz="0" w:space="0" w:color="auto"/>
            <w:right w:val="none" w:sz="0" w:space="0" w:color="auto"/>
          </w:divBdr>
        </w:div>
      </w:divsChild>
    </w:div>
    <w:div w:id="176357581">
      <w:bodyDiv w:val="1"/>
      <w:marLeft w:val="0"/>
      <w:marRight w:val="0"/>
      <w:marTop w:val="0"/>
      <w:marBottom w:val="0"/>
      <w:divBdr>
        <w:top w:val="none" w:sz="0" w:space="0" w:color="auto"/>
        <w:left w:val="none" w:sz="0" w:space="0" w:color="auto"/>
        <w:bottom w:val="none" w:sz="0" w:space="0" w:color="auto"/>
        <w:right w:val="none" w:sz="0" w:space="0" w:color="auto"/>
      </w:divBdr>
    </w:div>
    <w:div w:id="276452118">
      <w:bodyDiv w:val="1"/>
      <w:marLeft w:val="0"/>
      <w:marRight w:val="0"/>
      <w:marTop w:val="0"/>
      <w:marBottom w:val="0"/>
      <w:divBdr>
        <w:top w:val="none" w:sz="0" w:space="0" w:color="auto"/>
        <w:left w:val="none" w:sz="0" w:space="0" w:color="auto"/>
        <w:bottom w:val="none" w:sz="0" w:space="0" w:color="auto"/>
        <w:right w:val="none" w:sz="0" w:space="0" w:color="auto"/>
      </w:divBdr>
    </w:div>
    <w:div w:id="306206018">
      <w:bodyDiv w:val="1"/>
      <w:marLeft w:val="0"/>
      <w:marRight w:val="0"/>
      <w:marTop w:val="0"/>
      <w:marBottom w:val="0"/>
      <w:divBdr>
        <w:top w:val="none" w:sz="0" w:space="0" w:color="auto"/>
        <w:left w:val="none" w:sz="0" w:space="0" w:color="auto"/>
        <w:bottom w:val="none" w:sz="0" w:space="0" w:color="auto"/>
        <w:right w:val="none" w:sz="0" w:space="0" w:color="auto"/>
      </w:divBdr>
    </w:div>
    <w:div w:id="652296092">
      <w:bodyDiv w:val="1"/>
      <w:marLeft w:val="0"/>
      <w:marRight w:val="0"/>
      <w:marTop w:val="0"/>
      <w:marBottom w:val="0"/>
      <w:divBdr>
        <w:top w:val="none" w:sz="0" w:space="0" w:color="auto"/>
        <w:left w:val="none" w:sz="0" w:space="0" w:color="auto"/>
        <w:bottom w:val="none" w:sz="0" w:space="0" w:color="auto"/>
        <w:right w:val="none" w:sz="0" w:space="0" w:color="auto"/>
      </w:divBdr>
    </w:div>
    <w:div w:id="667488504">
      <w:bodyDiv w:val="1"/>
      <w:marLeft w:val="0"/>
      <w:marRight w:val="0"/>
      <w:marTop w:val="0"/>
      <w:marBottom w:val="0"/>
      <w:divBdr>
        <w:top w:val="none" w:sz="0" w:space="0" w:color="auto"/>
        <w:left w:val="none" w:sz="0" w:space="0" w:color="auto"/>
        <w:bottom w:val="none" w:sz="0" w:space="0" w:color="auto"/>
        <w:right w:val="none" w:sz="0" w:space="0" w:color="auto"/>
      </w:divBdr>
    </w:div>
    <w:div w:id="742262335">
      <w:bodyDiv w:val="1"/>
      <w:marLeft w:val="0"/>
      <w:marRight w:val="0"/>
      <w:marTop w:val="0"/>
      <w:marBottom w:val="0"/>
      <w:divBdr>
        <w:top w:val="none" w:sz="0" w:space="0" w:color="auto"/>
        <w:left w:val="none" w:sz="0" w:space="0" w:color="auto"/>
        <w:bottom w:val="none" w:sz="0" w:space="0" w:color="auto"/>
        <w:right w:val="none" w:sz="0" w:space="0" w:color="auto"/>
      </w:divBdr>
      <w:divsChild>
        <w:div w:id="165365439">
          <w:marLeft w:val="0"/>
          <w:marRight w:val="0"/>
          <w:marTop w:val="0"/>
          <w:marBottom w:val="0"/>
          <w:divBdr>
            <w:top w:val="none" w:sz="0" w:space="0" w:color="auto"/>
            <w:left w:val="none" w:sz="0" w:space="0" w:color="auto"/>
            <w:bottom w:val="none" w:sz="0" w:space="0" w:color="auto"/>
            <w:right w:val="none" w:sz="0" w:space="0" w:color="auto"/>
          </w:divBdr>
          <w:divsChild>
            <w:div w:id="17985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596">
      <w:bodyDiv w:val="1"/>
      <w:marLeft w:val="0"/>
      <w:marRight w:val="0"/>
      <w:marTop w:val="0"/>
      <w:marBottom w:val="0"/>
      <w:divBdr>
        <w:top w:val="none" w:sz="0" w:space="0" w:color="auto"/>
        <w:left w:val="none" w:sz="0" w:space="0" w:color="auto"/>
        <w:bottom w:val="none" w:sz="0" w:space="0" w:color="auto"/>
        <w:right w:val="none" w:sz="0" w:space="0" w:color="auto"/>
      </w:divBdr>
    </w:div>
    <w:div w:id="852646812">
      <w:bodyDiv w:val="1"/>
      <w:marLeft w:val="0"/>
      <w:marRight w:val="0"/>
      <w:marTop w:val="0"/>
      <w:marBottom w:val="0"/>
      <w:divBdr>
        <w:top w:val="none" w:sz="0" w:space="0" w:color="auto"/>
        <w:left w:val="none" w:sz="0" w:space="0" w:color="auto"/>
        <w:bottom w:val="none" w:sz="0" w:space="0" w:color="auto"/>
        <w:right w:val="none" w:sz="0" w:space="0" w:color="auto"/>
      </w:divBdr>
    </w:div>
    <w:div w:id="861239865">
      <w:bodyDiv w:val="1"/>
      <w:marLeft w:val="0"/>
      <w:marRight w:val="0"/>
      <w:marTop w:val="0"/>
      <w:marBottom w:val="0"/>
      <w:divBdr>
        <w:top w:val="none" w:sz="0" w:space="0" w:color="auto"/>
        <w:left w:val="none" w:sz="0" w:space="0" w:color="auto"/>
        <w:bottom w:val="none" w:sz="0" w:space="0" w:color="auto"/>
        <w:right w:val="none" w:sz="0" w:space="0" w:color="auto"/>
      </w:divBdr>
    </w:div>
    <w:div w:id="950477432">
      <w:bodyDiv w:val="1"/>
      <w:marLeft w:val="0"/>
      <w:marRight w:val="0"/>
      <w:marTop w:val="0"/>
      <w:marBottom w:val="0"/>
      <w:divBdr>
        <w:top w:val="none" w:sz="0" w:space="0" w:color="auto"/>
        <w:left w:val="none" w:sz="0" w:space="0" w:color="auto"/>
        <w:bottom w:val="none" w:sz="0" w:space="0" w:color="auto"/>
        <w:right w:val="none" w:sz="0" w:space="0" w:color="auto"/>
      </w:divBdr>
    </w:div>
    <w:div w:id="1261372131">
      <w:bodyDiv w:val="1"/>
      <w:marLeft w:val="0"/>
      <w:marRight w:val="0"/>
      <w:marTop w:val="0"/>
      <w:marBottom w:val="0"/>
      <w:divBdr>
        <w:top w:val="none" w:sz="0" w:space="0" w:color="auto"/>
        <w:left w:val="none" w:sz="0" w:space="0" w:color="auto"/>
        <w:bottom w:val="none" w:sz="0" w:space="0" w:color="auto"/>
        <w:right w:val="none" w:sz="0" w:space="0" w:color="auto"/>
      </w:divBdr>
    </w:div>
    <w:div w:id="1474760184">
      <w:bodyDiv w:val="1"/>
      <w:marLeft w:val="0"/>
      <w:marRight w:val="0"/>
      <w:marTop w:val="0"/>
      <w:marBottom w:val="0"/>
      <w:divBdr>
        <w:top w:val="none" w:sz="0" w:space="0" w:color="auto"/>
        <w:left w:val="none" w:sz="0" w:space="0" w:color="auto"/>
        <w:bottom w:val="none" w:sz="0" w:space="0" w:color="auto"/>
        <w:right w:val="none" w:sz="0" w:space="0" w:color="auto"/>
      </w:divBdr>
    </w:div>
    <w:div w:id="1585721099">
      <w:bodyDiv w:val="1"/>
      <w:marLeft w:val="0"/>
      <w:marRight w:val="0"/>
      <w:marTop w:val="0"/>
      <w:marBottom w:val="0"/>
      <w:divBdr>
        <w:top w:val="none" w:sz="0" w:space="0" w:color="auto"/>
        <w:left w:val="none" w:sz="0" w:space="0" w:color="auto"/>
        <w:bottom w:val="none" w:sz="0" w:space="0" w:color="auto"/>
        <w:right w:val="none" w:sz="0" w:space="0" w:color="auto"/>
      </w:divBdr>
    </w:div>
    <w:div w:id="1737120021">
      <w:bodyDiv w:val="1"/>
      <w:marLeft w:val="0"/>
      <w:marRight w:val="0"/>
      <w:marTop w:val="0"/>
      <w:marBottom w:val="0"/>
      <w:divBdr>
        <w:top w:val="none" w:sz="0" w:space="0" w:color="auto"/>
        <w:left w:val="none" w:sz="0" w:space="0" w:color="auto"/>
        <w:bottom w:val="none" w:sz="0" w:space="0" w:color="auto"/>
        <w:right w:val="none" w:sz="0" w:space="0" w:color="auto"/>
      </w:divBdr>
    </w:div>
    <w:div w:id="1804735391">
      <w:bodyDiv w:val="1"/>
      <w:marLeft w:val="0"/>
      <w:marRight w:val="0"/>
      <w:marTop w:val="0"/>
      <w:marBottom w:val="0"/>
      <w:divBdr>
        <w:top w:val="none" w:sz="0" w:space="0" w:color="auto"/>
        <w:left w:val="none" w:sz="0" w:space="0" w:color="auto"/>
        <w:bottom w:val="none" w:sz="0" w:space="0" w:color="auto"/>
        <w:right w:val="none" w:sz="0" w:space="0" w:color="auto"/>
      </w:divBdr>
    </w:div>
    <w:div w:id="1890071256">
      <w:bodyDiv w:val="1"/>
      <w:marLeft w:val="0"/>
      <w:marRight w:val="0"/>
      <w:marTop w:val="0"/>
      <w:marBottom w:val="0"/>
      <w:divBdr>
        <w:top w:val="none" w:sz="0" w:space="0" w:color="auto"/>
        <w:left w:val="none" w:sz="0" w:space="0" w:color="auto"/>
        <w:bottom w:val="none" w:sz="0" w:space="0" w:color="auto"/>
        <w:right w:val="none" w:sz="0" w:space="0" w:color="auto"/>
      </w:divBdr>
    </w:div>
    <w:div w:id="21155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novatealabam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tners@InnovateAlabam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ifld-geoplatform.opendata.arcgis.com/datasets/geoplatform::urban-areas/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d8bc74-54c4-4efd-b8e7-f72560d16d9c">
      <Terms xmlns="http://schemas.microsoft.com/office/infopath/2007/PartnerControls"/>
    </lcf76f155ced4ddcb4097134ff3c332f>
    <TaxCatchAll xmlns="3977a0e6-6613-4fcd-a0f6-d920606132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C7A7E7A6714B4781D9C9827C39DDD7" ma:contentTypeVersion="13" ma:contentTypeDescription="Create a new document." ma:contentTypeScope="" ma:versionID="4b5a5772db872fa71993bec905681cf9">
  <xsd:schema xmlns:xsd="http://www.w3.org/2001/XMLSchema" xmlns:xs="http://www.w3.org/2001/XMLSchema" xmlns:p="http://schemas.microsoft.com/office/2006/metadata/properties" xmlns:ns2="3977a0e6-6613-4fcd-a0f6-d9206061327f" xmlns:ns3="96d8bc74-54c4-4efd-b8e7-f72560d16d9c" targetNamespace="http://schemas.microsoft.com/office/2006/metadata/properties" ma:root="true" ma:fieldsID="17e0145e79b121248200e2fad7415792" ns2:_="" ns3:_="">
    <xsd:import namespace="3977a0e6-6613-4fcd-a0f6-d9206061327f"/>
    <xsd:import namespace="96d8bc74-54c4-4efd-b8e7-f72560d16d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7a0e6-6613-4fcd-a0f6-d920606132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a42d581-175a-4e07-83c8-4a294ca04ee7}" ma:internalName="TaxCatchAll" ma:showField="CatchAllData" ma:web="3977a0e6-6613-4fcd-a0f6-d920606132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bc74-54c4-4efd-b8e7-f72560d16d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d7d9562-9bf2-4559-aac4-ab30476581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65ADD-FDD9-478E-AE63-09D917827CA1}">
  <ds:schemaRefs>
    <ds:schemaRef ds:uri="http://schemas.microsoft.com/sharepoint/v3/contenttype/forms"/>
  </ds:schemaRefs>
</ds:datastoreItem>
</file>

<file path=customXml/itemProps2.xml><?xml version="1.0" encoding="utf-8"?>
<ds:datastoreItem xmlns:ds="http://schemas.openxmlformats.org/officeDocument/2006/customXml" ds:itemID="{B69E5707-8E1C-4ECB-BB97-B0153783D301}">
  <ds:schemaRefs>
    <ds:schemaRef ds:uri="http://schemas.microsoft.com/office/2006/metadata/properties"/>
    <ds:schemaRef ds:uri="http://schemas.microsoft.com/office/infopath/2007/PartnerControls"/>
    <ds:schemaRef ds:uri="96d8bc74-54c4-4efd-b8e7-f72560d16d9c"/>
    <ds:schemaRef ds:uri="3977a0e6-6613-4fcd-a0f6-d9206061327f"/>
  </ds:schemaRefs>
</ds:datastoreItem>
</file>

<file path=customXml/itemProps3.xml><?xml version="1.0" encoding="utf-8"?>
<ds:datastoreItem xmlns:ds="http://schemas.openxmlformats.org/officeDocument/2006/customXml" ds:itemID="{E94E6651-79AA-406C-8D74-64DC6DFBF03A}">
  <ds:schemaRefs>
    <ds:schemaRef ds:uri="http://schemas.openxmlformats.org/officeDocument/2006/bibliography"/>
  </ds:schemaRefs>
</ds:datastoreItem>
</file>

<file path=customXml/itemProps4.xml><?xml version="1.0" encoding="utf-8"?>
<ds:datastoreItem xmlns:ds="http://schemas.openxmlformats.org/officeDocument/2006/customXml" ds:itemID="{891CDE6B-F9C4-4E77-8E77-0C623EA86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7a0e6-6613-4fcd-a0f6-d9206061327f"/>
    <ds:schemaRef ds:uri="96d8bc74-54c4-4efd-b8e7-f72560d1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2097</Words>
  <Characters>11953</Characters>
  <Application>Microsoft Office Word</Application>
  <DocSecurity>0</DocSecurity>
  <Lines>99</Lines>
  <Paragraphs>28</Paragraphs>
  <ScaleCrop>false</ScaleCrop>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Lettau</dc:creator>
  <cp:keywords/>
  <dc:description/>
  <cp:lastModifiedBy>Casey Stark</cp:lastModifiedBy>
  <cp:revision>2</cp:revision>
  <cp:lastPrinted>2023-10-11T14:19:00Z</cp:lastPrinted>
  <dcterms:created xsi:type="dcterms:W3CDTF">2023-10-17T20:12:00Z</dcterms:created>
  <dcterms:modified xsi:type="dcterms:W3CDTF">2023-10-17T20:12:00Z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0x0101009DC7A7E7A6714B4781D9C9827C39DDD7</vt:lpwstr>
  </property>
  <property fmtid="{D5CDD505-2E9C-101B-9397-08002B2CF9AE}" pid="3" name="MediaServiceImageTags">
    <vt:lpwstr/>
  </property>
</Properties>
</file>